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872A8" w14:textId="3CC455DA" w:rsidR="00181E8F" w:rsidRDefault="00F13C8B" w:rsidP="00275F22">
      <w:pPr>
        <w:tabs>
          <w:tab w:val="left" w:pos="1185"/>
        </w:tabs>
        <w:jc w:val="center"/>
        <w:rPr>
          <w:rFonts w:ascii="Tahoma" w:hAnsi="Tahoma" w:cs="Tahoma"/>
          <w:b/>
          <w:sz w:val="20"/>
        </w:rPr>
      </w:pPr>
      <w:r w:rsidRPr="00181E8F">
        <w:rPr>
          <w:rFonts w:ascii="Tahoma" w:hAnsi="Tahoma" w:cs="Tahoma"/>
          <w:b/>
          <w:sz w:val="20"/>
        </w:rPr>
        <w:t>PROGRAMA ANUAL DE EVALUACIÓN (PAE) 202</w:t>
      </w:r>
      <w:r w:rsidR="003A2200">
        <w:rPr>
          <w:rFonts w:ascii="Tahoma" w:hAnsi="Tahoma" w:cs="Tahoma"/>
          <w:b/>
          <w:sz w:val="20"/>
        </w:rPr>
        <w:t>4</w:t>
      </w:r>
    </w:p>
    <w:p w14:paraId="57437725" w14:textId="77777777" w:rsidR="00F870B5" w:rsidRPr="00181E8F" w:rsidRDefault="00F870B5" w:rsidP="00275F22">
      <w:pPr>
        <w:tabs>
          <w:tab w:val="left" w:pos="1185"/>
        </w:tabs>
        <w:jc w:val="center"/>
        <w:rPr>
          <w:rFonts w:ascii="Tahoma" w:hAnsi="Tahoma" w:cs="Tahoma"/>
          <w:b/>
          <w:sz w:val="20"/>
        </w:rPr>
      </w:pPr>
    </w:p>
    <w:p w14:paraId="6624693D" w14:textId="6CAB76ED" w:rsidR="00F13C8B" w:rsidRPr="00181E8F" w:rsidRDefault="00F13C8B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 xml:space="preserve">Con fundamento en los artículos 134 de la Constitución Política de los Estados Unidos Mexicanos (Última Reforma 10 de julio 2015); 1, 2 fracción LI, 78, 85, 110, 111 de la Ley Federal de Presupuesto y  Responsabilidad   Hacendaria   (LFPRH,   2014);   79   de   la   Ley   General   de   Contabilidad </w:t>
      </w:r>
      <w:r w:rsidRPr="007C3FC1">
        <w:rPr>
          <w:rFonts w:ascii="Tahoma" w:hAnsi="Tahoma" w:cs="Tahoma"/>
          <w:sz w:val="20"/>
        </w:rPr>
        <w:t xml:space="preserve">Gubernamental    (LGCG,   2015);   el   Honorable   Ayuntamiento   Municipio   de   Hecelchakán, Campeche,  </w:t>
      </w:r>
      <w:r w:rsidR="007C3FC1" w:rsidRPr="007C3FC1">
        <w:rPr>
          <w:rFonts w:ascii="Tahoma" w:hAnsi="Tahoma" w:cs="Tahoma"/>
          <w:sz w:val="20"/>
        </w:rPr>
        <w:t>2022-2024</w:t>
      </w:r>
      <w:r w:rsidRPr="007C3FC1">
        <w:rPr>
          <w:rFonts w:ascii="Tahoma" w:hAnsi="Tahoma" w:cs="Tahoma"/>
          <w:sz w:val="20"/>
        </w:rPr>
        <w:t xml:space="preserve">  conforme</w:t>
      </w:r>
      <w:r w:rsidRPr="00181E8F">
        <w:rPr>
          <w:rFonts w:ascii="Tahoma" w:hAnsi="Tahoma" w:cs="Tahoma"/>
          <w:sz w:val="20"/>
        </w:rPr>
        <w:t xml:space="preserve"> a los términos normativos, emitidos por el Consejo  Nacional de Armonización  Contable  (CONAC), se  emite  el Programa  Anual de Evaluación (PAE)  para el Ejercicio Fiscal 202</w:t>
      </w:r>
      <w:r w:rsidR="00A64261">
        <w:rPr>
          <w:rFonts w:ascii="Tahoma" w:hAnsi="Tahoma" w:cs="Tahoma"/>
          <w:sz w:val="20"/>
        </w:rPr>
        <w:t>4</w:t>
      </w:r>
      <w:r w:rsidRPr="00181E8F">
        <w:rPr>
          <w:rFonts w:ascii="Tahoma" w:hAnsi="Tahoma" w:cs="Tahoma"/>
          <w:sz w:val="20"/>
        </w:rPr>
        <w:t xml:space="preserve"> con el propósito de dar a conocer las evaluaciones que se realizarán, así como los Programas  Presupuestarios considerados a evaluar a fin de dar cumplimiento a los lineamientos antes señalados.</w:t>
      </w:r>
    </w:p>
    <w:p w14:paraId="1DE63D74" w14:textId="77777777" w:rsidR="00F13C8B" w:rsidRPr="00180561" w:rsidRDefault="00F13C8B" w:rsidP="00275F22">
      <w:pPr>
        <w:tabs>
          <w:tab w:val="left" w:pos="1185"/>
        </w:tabs>
        <w:jc w:val="center"/>
        <w:rPr>
          <w:rFonts w:ascii="Tahoma" w:hAnsi="Tahoma" w:cs="Tahoma"/>
          <w:b/>
          <w:sz w:val="20"/>
        </w:rPr>
      </w:pPr>
      <w:r w:rsidRPr="00180561">
        <w:rPr>
          <w:rFonts w:ascii="Tahoma" w:hAnsi="Tahoma" w:cs="Tahoma"/>
          <w:b/>
          <w:sz w:val="20"/>
        </w:rPr>
        <w:t>CONSIDERACIONES GENERALES</w:t>
      </w:r>
    </w:p>
    <w:p w14:paraId="24D03B06" w14:textId="77777777" w:rsidR="00F13C8B" w:rsidRPr="00181E8F" w:rsidRDefault="00F13C8B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l. Propósito del Programa Anual de Evaluación.</w:t>
      </w:r>
    </w:p>
    <w:p w14:paraId="63750B47" w14:textId="401C7F76" w:rsidR="00F13C8B" w:rsidRPr="00B951DC" w:rsidRDefault="00F13C8B" w:rsidP="00275F22">
      <w:pPr>
        <w:pStyle w:val="Prrafodelista"/>
        <w:numPr>
          <w:ilvl w:val="0"/>
          <w:numId w:val="4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B951DC">
        <w:rPr>
          <w:rFonts w:ascii="Tahoma" w:hAnsi="Tahoma" w:cs="Tahoma"/>
          <w:sz w:val="20"/>
        </w:rPr>
        <w:t>Identificar los Programas Presupuestarios y/o fondos federales a evaluar y el tipo de evaluaciones que se aplicarán a cada uno de ellos.</w:t>
      </w:r>
    </w:p>
    <w:p w14:paraId="1C3E822E" w14:textId="6A6CCA0A" w:rsidR="00F13C8B" w:rsidRPr="00B951DC" w:rsidRDefault="00F13C8B" w:rsidP="00275F22">
      <w:pPr>
        <w:pStyle w:val="Prrafodelista"/>
        <w:numPr>
          <w:ilvl w:val="0"/>
          <w:numId w:val="4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B951DC">
        <w:rPr>
          <w:rFonts w:ascii="Tahoma" w:hAnsi="Tahoma" w:cs="Tahoma"/>
          <w:sz w:val="20"/>
        </w:rPr>
        <w:t>Establecer el calendario de ejecución de las evaluaciones de los Programas Presupuestarios y/o Fondos Federales.</w:t>
      </w:r>
    </w:p>
    <w:p w14:paraId="2514DAF5" w14:textId="17F1FC29" w:rsidR="00F13C8B" w:rsidRPr="00B951DC" w:rsidRDefault="00F13C8B" w:rsidP="00275F22">
      <w:pPr>
        <w:pStyle w:val="Prrafodelista"/>
        <w:numPr>
          <w:ilvl w:val="0"/>
          <w:numId w:val="4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B951DC">
        <w:rPr>
          <w:rFonts w:ascii="Tahoma" w:hAnsi="Tahoma" w:cs="Tahoma"/>
          <w:sz w:val="20"/>
        </w:rPr>
        <w:t>Articular los resultados de las evaluaciones de los Programas Presupuestarios con la Programación y Presupuestario como elemento relevante del Presupuesto basado en Resultados (PBR) y el Sistema de Evaluación del Desempeño (SED).</w:t>
      </w:r>
    </w:p>
    <w:p w14:paraId="7A5969C4" w14:textId="76E4E153" w:rsidR="00F13C8B" w:rsidRPr="00B951DC" w:rsidRDefault="00F13C8B" w:rsidP="00275F22">
      <w:pPr>
        <w:pStyle w:val="Prrafodelista"/>
        <w:numPr>
          <w:ilvl w:val="0"/>
          <w:numId w:val="4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B951DC">
        <w:rPr>
          <w:rFonts w:ascii="Tahoma" w:hAnsi="Tahoma" w:cs="Tahoma"/>
          <w:sz w:val="20"/>
        </w:rPr>
        <w:t>Difundir los resultados de las evaluaciones de los Programas Presupuestarios.</w:t>
      </w:r>
    </w:p>
    <w:p w14:paraId="2C67A622" w14:textId="5EB0DA7F" w:rsidR="00F13C8B" w:rsidRPr="00B951DC" w:rsidRDefault="00F13C8B" w:rsidP="00275F22">
      <w:pPr>
        <w:pStyle w:val="Prrafodelista"/>
        <w:numPr>
          <w:ilvl w:val="0"/>
          <w:numId w:val="4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B951DC">
        <w:rPr>
          <w:rFonts w:ascii="Tahoma" w:hAnsi="Tahoma" w:cs="Tahoma"/>
          <w:sz w:val="20"/>
        </w:rPr>
        <w:t>Consolidar el SED.</w:t>
      </w:r>
    </w:p>
    <w:p w14:paraId="1F5D3F5E" w14:textId="758ADD76" w:rsidR="00F13C8B" w:rsidRPr="00181E8F" w:rsidRDefault="00F13C8B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II. P</w:t>
      </w:r>
      <w:r w:rsidR="000B7CCC">
        <w:rPr>
          <w:rFonts w:ascii="Tahoma" w:hAnsi="Tahoma" w:cs="Tahoma"/>
          <w:sz w:val="20"/>
        </w:rPr>
        <w:t>ara efectos del presente documento,</w:t>
      </w:r>
      <w:r w:rsidRPr="00181E8F">
        <w:rPr>
          <w:rFonts w:ascii="Tahoma" w:hAnsi="Tahoma" w:cs="Tahoma"/>
          <w:sz w:val="20"/>
        </w:rPr>
        <w:t xml:space="preserve"> se entenderá por:</w:t>
      </w:r>
    </w:p>
    <w:p w14:paraId="432A46B6" w14:textId="34999C94" w:rsidR="00813FB0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CMAC: Comité Municipal de Armonización Contable</w:t>
      </w:r>
    </w:p>
    <w:p w14:paraId="47E79F31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CONAC: Consejo Nacional de Armonización Contable.</w:t>
      </w:r>
    </w:p>
    <w:p w14:paraId="1BD2E3EF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Enlace:  Funcionario designado   como responsable   de la administración y ejecución de los Programas Presupuestarios.</w:t>
      </w:r>
    </w:p>
    <w:p w14:paraId="047F0618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Evaluación: Proceso que tiene como finalidad determinar el grado de eficacia y eficiencia, con que han sido empleados los recursos destinados a alcanzar los objetivos previstos, posibilitando la determinación de las desviaciones y la   adopción   de medidas   correctivas   que   garanticen    el cumplimiento adecuado de las metas presupuestadas.</w:t>
      </w:r>
    </w:p>
    <w:p w14:paraId="18197806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Evaluación de Consistencia y Resultados: Análisis sistemático del diseño y desempeño global de los programas para mejorar su gestión y medir el logro de sus resultados con base en la matriz de indicadores.   (Lineamientos Generales   para   la Evaluación de los Programas Federales de la Administración Pública Federal, 2007).</w:t>
      </w:r>
    </w:p>
    <w:p w14:paraId="241E4597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lastRenderedPageBreak/>
        <w:t>Evaluación del Desempeño: Verificación del grado de cumplimiento de objetivos y metas, con base en indicadores estratégicos y de gestión para conocer los resultados de la aplicación de los recursos públicos federales, estatales y municipales.  (LFPRH, 2014).</w:t>
      </w:r>
    </w:p>
    <w:p w14:paraId="3860694E" w14:textId="07FAAF6F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Evaluación Final y Ex Post: Se realiza una vez finalizada la intervención. Su objetivo es emitir un juicio sobre el éxito o fracaso de la intervención desarrollada, el acierto de la estrategia diseñada, su grado de flexibilidad y capacidad de adaptación a una realidad siempre cambiante, su eficacia y eficiencia, la adecuación de los mecanismos de gestión y seguimiento aplicados, y los resultados e impactos logrados. Puesto que es necesario dejar transcurrir un tiempo desde la finalización de la intervención para que se manifiesten los impactos y efectos más indirectos, suele distinguirse entre evaluación Final (realizada nada más terminar la intervención) y evaluación Expost (realizada en un momento posterior). Son evaluaciones retrospectivas. (Dirección General de Planificación y evaluación de Políticas para el De</w:t>
      </w:r>
      <w:r w:rsidR="003205CB">
        <w:rPr>
          <w:rFonts w:ascii="Tahoma" w:hAnsi="Tahoma" w:cs="Tahoma"/>
          <w:sz w:val="20"/>
        </w:rPr>
        <w:t>sarrollo, 2007).</w:t>
      </w:r>
    </w:p>
    <w:p w14:paraId="65B498B2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GPR: Gestión por Resultados.</w:t>
      </w:r>
    </w:p>
    <w:p w14:paraId="5C52C9D1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Indicadores: Expresión cuantitativa o cualitativa, correspondiente a un índice, medida, cociente o fórmula, que establece un parámetro del avance en el cumplimiento de los objetivos y metas. Los indicadores podrán ser estratégicos o de gestión y deberán permitir la medición de estos rubros en las dimensiones de eficacia, eficiencia, economía y calidad.</w:t>
      </w:r>
    </w:p>
    <w:p w14:paraId="6F153901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LFPRH: Ley Federal de Presupuesto y Responsabilidad Hacendaria.</w:t>
      </w:r>
    </w:p>
    <w:p w14:paraId="1C38D2A7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LGCG:  Ley General de Contabilidad Gubernamental</w:t>
      </w:r>
    </w:p>
    <w:p w14:paraId="4AF60ABD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MIR: Matriz de Indicadores para Resultados.</w:t>
      </w:r>
    </w:p>
    <w:p w14:paraId="5C06C5BB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MML: Metodología de Marco Lógico.</w:t>
      </w:r>
    </w:p>
    <w:p w14:paraId="0ADC854E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PBR:  Presupuesto basado en Resultados.</w:t>
      </w:r>
    </w:p>
    <w:p w14:paraId="48F2CA2B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SED:  Sistema de Evaluación del Desempeño.</w:t>
      </w:r>
    </w:p>
    <w:p w14:paraId="25429C61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Seguimiento: El seguimiento puede definirse como una función continua cuyo principal objetivo es proporcionar a los gerentes y a los principales interesados, en el contexto de una intervención en curso, indicaciones tempranas de progreso, o de la falta de progreso, en el logro de resultados. La intervención en curso puede ser un proyecto, un programa u otro tipo de apoyo para lograr un efecto. ((PNUD), 2002).</w:t>
      </w:r>
    </w:p>
    <w:p w14:paraId="0775F707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Sistema de Evaluación del Desempeño (SED): El conjunto de elementos metodológicos que permiten realizar una valoración objetiva del desempeño de los programas, bajo los principios de verificación del grado de cumplimiento de metas y objetivos, con base en indicadores estratégicos y de gestión que permitan conocer el impacto social de los programas y de los proyectos. (LFPRH,2014).</w:t>
      </w:r>
    </w:p>
    <w:p w14:paraId="53928D73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 xml:space="preserve">Términos de Referencia (TdR): Establecen una definición clara de hacia dónde debe ir dirigida la evaluación, son creados antes de la etapa de diseño de la evaluación y describen la idea de lo que se quiere evaluar. El instrumento debe contener lo que esperamos obtener de la misma.  Se aplican para servicios de carácter intelectual/académico y de asesoramiento provistos por consultores. Los TDR son parte integrante de las denominadas bases, pliegos o pedidos de propuestas para la selección de consultores.  El responsable de la elaboración de los TDR es el área técnica que identifica la necesidad de los servicios a contratar.  Los aspectos mínimos </w:t>
      </w:r>
      <w:r w:rsidRPr="00EF35CF">
        <w:rPr>
          <w:rFonts w:ascii="Tahoma" w:hAnsi="Tahoma" w:cs="Tahoma"/>
          <w:sz w:val="20"/>
        </w:rPr>
        <w:lastRenderedPageBreak/>
        <w:t>que deben contener un TDR, son los siguientes: Antecedentes, Objetivo general y objetivos específicos y Alcance, enfoque de la evaluación y actores implicados.</w:t>
      </w:r>
    </w:p>
    <w:p w14:paraId="384960AD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Trabajo de campo: Conjunto de actividades que implican desarrollar una serie de acciones para recabar información en el área de influencia o geográfica donde opera el programa, mediante la aplicación de encuestas o entrevistas a la población objetivo, inspecciones directas y/o levantamientos en sitio, así como el acopio de aquella información distinta a la de gabinete que se requiera para el mejor desarrollo de las evaluaciones. (CONEVAL, 2007).</w:t>
      </w:r>
    </w:p>
    <w:p w14:paraId="720E95E6" w14:textId="77777777" w:rsidR="00813FB0" w:rsidRPr="00EF35CF" w:rsidRDefault="00813FB0" w:rsidP="00275F22">
      <w:pPr>
        <w:pStyle w:val="Prrafodelista"/>
        <w:numPr>
          <w:ilvl w:val="0"/>
          <w:numId w:val="9"/>
        </w:numPr>
        <w:tabs>
          <w:tab w:val="left" w:pos="1185"/>
        </w:tabs>
        <w:ind w:left="567"/>
        <w:jc w:val="both"/>
        <w:rPr>
          <w:rFonts w:ascii="Tahoma" w:hAnsi="Tahoma" w:cs="Tahoma"/>
          <w:sz w:val="20"/>
        </w:rPr>
      </w:pPr>
      <w:r w:rsidRPr="00EF35CF">
        <w:rPr>
          <w:rFonts w:ascii="Tahoma" w:hAnsi="Tahoma" w:cs="Tahoma"/>
          <w:sz w:val="20"/>
        </w:rPr>
        <w:t>Trabajo de gabinete: Conjunto de actividades que involucra el acopio, organización y análisis de información concentrada en registros, bases de datos, documentación pública y/o información que proporcione la dependencia o entidad responsable del Programa Presupuestario sujeto a seguimiento y/o evaluación.</w:t>
      </w:r>
    </w:p>
    <w:p w14:paraId="560D1689" w14:textId="77777777" w:rsidR="003205CB" w:rsidRDefault="003205CB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</w:p>
    <w:p w14:paraId="473A36F2" w14:textId="00DD0AA3" w:rsidR="00B7583A" w:rsidRDefault="00304146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III. EVALUACIONES EXTERNAS A </w:t>
      </w:r>
      <w:r w:rsidR="00B7583A">
        <w:rPr>
          <w:rFonts w:ascii="Tahoma" w:hAnsi="Tahoma" w:cs="Tahoma"/>
          <w:sz w:val="20"/>
        </w:rPr>
        <w:t xml:space="preserve">LOS </w:t>
      </w:r>
      <w:r w:rsidR="00D06ED8">
        <w:rPr>
          <w:rFonts w:ascii="Tahoma" w:hAnsi="Tahoma" w:cs="Tahoma"/>
          <w:sz w:val="20"/>
        </w:rPr>
        <w:t>FONDOS DE APORTACIONES FEDERALES.</w:t>
      </w:r>
    </w:p>
    <w:p w14:paraId="1929BD2B" w14:textId="77777777" w:rsidR="00275F22" w:rsidRDefault="00275F22" w:rsidP="00275F22">
      <w:p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La evaluación de Consistencia y Resultados tiene como finalidad el análisis de la capacidad de gestión de un programa presupuestal, abarcando seis temas:</w:t>
      </w:r>
    </w:p>
    <w:p w14:paraId="714ADCC8" w14:textId="77777777" w:rsidR="00275F22" w:rsidRDefault="00275F22" w:rsidP="00275F22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Diseño. Analiza la lógica y congruencia en el diseño del programa, la consistencia entre el diseño y la normatividad aplicable.</w:t>
      </w:r>
    </w:p>
    <w:p w14:paraId="6004CD68" w14:textId="77777777" w:rsidR="00275F22" w:rsidRDefault="00275F22" w:rsidP="00275F22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Planeación Estratégica. Identifica los instrumentos de planeación y orientación hacia los resultados.</w:t>
      </w:r>
    </w:p>
    <w:p w14:paraId="3348E639" w14:textId="77777777" w:rsidR="00275F22" w:rsidRDefault="00275F22" w:rsidP="00275F22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Operación. Examinar los principales procesos establecidos en las reglas de operación del programa, así como los sistemas de información con los que cuente el programa y los mecanismos de rendición de cuentas.</w:t>
      </w:r>
    </w:p>
    <w:p w14:paraId="0EB4F193" w14:textId="77777777" w:rsidR="00275F22" w:rsidRDefault="00275F22" w:rsidP="00275F22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Cobertura y focalización. Distinguir si el programa ha definido una estrategia de cobertura de mediano y de largo plazo, igual que los avances presentados en el ejercicio fiscal evaluado.</w:t>
      </w:r>
    </w:p>
    <w:p w14:paraId="4EA45836" w14:textId="77777777" w:rsidR="00275F22" w:rsidRDefault="00275F22" w:rsidP="00275F22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Percepción de beneficiarios. Identificar si el programa cuenta herramientas que le permitan recabar información para medir el grado de satisfacción de los beneficiarios del programa y sus resultados.</w:t>
      </w:r>
    </w:p>
    <w:p w14:paraId="11D8F838" w14:textId="77777777" w:rsidR="00275F22" w:rsidRDefault="00275F22" w:rsidP="00275F22">
      <w:pPr>
        <w:pStyle w:val="Prrafodelista"/>
        <w:numPr>
          <w:ilvl w:val="0"/>
          <w:numId w:val="10"/>
        </w:num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Resultados. Analizar los resultados del programa con respecto a la atención del programa para el que fue creado.</w:t>
      </w:r>
    </w:p>
    <w:p w14:paraId="4BB745B3" w14:textId="77777777" w:rsidR="00275F22" w:rsidRDefault="00275F22" w:rsidP="00275F22">
      <w:p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Dicha evaluación se llevará a cabo en base al Modelo de los TdR que emite el Consejo Nacional de Evaluación de la Política de Desarrollo Social (CONEVAL). </w:t>
      </w:r>
    </w:p>
    <w:p w14:paraId="50F9B732" w14:textId="77777777" w:rsidR="00275F22" w:rsidRDefault="00275F22" w:rsidP="00275F22">
      <w:p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Así mismo se deberá contener adicionalmente una comparación con los resultados encontrados en las evaluaciones de consistencia y resultados que se hayan efectuado con anterioridad.</w:t>
      </w:r>
    </w:p>
    <w:p w14:paraId="1A43DC0C" w14:textId="1EAF9C85" w:rsidR="00946378" w:rsidRDefault="004B1EF6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Durante el Ejercicio Fiscal 202</w:t>
      </w:r>
      <w:r w:rsidR="00A64261">
        <w:rPr>
          <w:rFonts w:ascii="Tahoma" w:hAnsi="Tahoma" w:cs="Tahoma"/>
          <w:sz w:val="20"/>
        </w:rPr>
        <w:t>4</w:t>
      </w:r>
      <w:r>
        <w:rPr>
          <w:rFonts w:ascii="Tahoma" w:hAnsi="Tahoma" w:cs="Tahoma"/>
          <w:sz w:val="20"/>
        </w:rPr>
        <w:t xml:space="preserve">, se coordinará la realización de </w:t>
      </w:r>
      <w:r w:rsidR="00495E9C">
        <w:rPr>
          <w:rFonts w:ascii="Tahoma" w:hAnsi="Tahoma" w:cs="Tahoma"/>
          <w:sz w:val="20"/>
        </w:rPr>
        <w:t>cuatro evaluaciones de Tipo Consistencia y Resultados a los</w:t>
      </w:r>
      <w:r w:rsidR="00364402">
        <w:rPr>
          <w:rFonts w:ascii="Tahoma" w:hAnsi="Tahoma" w:cs="Tahoma"/>
          <w:sz w:val="20"/>
        </w:rPr>
        <w:t xml:space="preserve"> siguientes fondos de aportaciones federales </w:t>
      </w:r>
      <w:r w:rsidR="00495E9C">
        <w:rPr>
          <w:rFonts w:ascii="Tahoma" w:hAnsi="Tahoma" w:cs="Tahoma"/>
          <w:sz w:val="20"/>
        </w:rPr>
        <w:t>como se detallan a continuació</w:t>
      </w:r>
      <w:r w:rsidR="00364402">
        <w:rPr>
          <w:rFonts w:ascii="Tahoma" w:hAnsi="Tahoma" w:cs="Tahoma"/>
          <w:sz w:val="20"/>
        </w:rPr>
        <w:t>n:</w:t>
      </w:r>
      <w:r w:rsidR="00946378">
        <w:rPr>
          <w:rFonts w:ascii="Tahoma" w:hAnsi="Tahoma" w:cs="Tahoma"/>
          <w:sz w:val="20"/>
        </w:rPr>
        <w:br w:type="page"/>
      </w:r>
    </w:p>
    <w:p w14:paraId="76EEA478" w14:textId="77777777" w:rsidR="00BB7C34" w:rsidRDefault="00BB7C34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  <w:sectPr w:rsidR="00BB7C34" w:rsidSect="00621604">
          <w:headerReference w:type="default" r:id="rId8"/>
          <w:pgSz w:w="12240" w:h="15840"/>
          <w:pgMar w:top="2694" w:right="1701" w:bottom="1417" w:left="1701" w:header="708" w:footer="708" w:gutter="0"/>
          <w:cols w:space="708"/>
          <w:docGrid w:linePitch="360"/>
        </w:sectPr>
      </w:pPr>
    </w:p>
    <w:p w14:paraId="0F1AA00B" w14:textId="3C289737" w:rsidR="00BB7C34" w:rsidRDefault="00BB7C34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</w:p>
    <w:p w14:paraId="7C3DEA20" w14:textId="77777777" w:rsidR="00BB7C34" w:rsidRDefault="00BB7C34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</w:pPr>
    </w:p>
    <w:tbl>
      <w:tblPr>
        <w:tblStyle w:val="Tablaconcuadrcula"/>
        <w:tblW w:w="13279" w:type="dxa"/>
        <w:tblInd w:w="-1706" w:type="dxa"/>
        <w:tblLook w:val="04A0" w:firstRow="1" w:lastRow="0" w:firstColumn="1" w:lastColumn="0" w:noHBand="0" w:noVBand="1"/>
      </w:tblPr>
      <w:tblGrid>
        <w:gridCol w:w="519"/>
        <w:gridCol w:w="2207"/>
        <w:gridCol w:w="1320"/>
        <w:gridCol w:w="1170"/>
        <w:gridCol w:w="1766"/>
        <w:gridCol w:w="2069"/>
        <w:gridCol w:w="1742"/>
        <w:gridCol w:w="1243"/>
        <w:gridCol w:w="1243"/>
      </w:tblGrid>
      <w:tr w:rsidR="00B850E1" w:rsidRPr="00181E8F" w14:paraId="67A7437A" w14:textId="77777777" w:rsidTr="00A031DB">
        <w:tc>
          <w:tcPr>
            <w:tcW w:w="519" w:type="dxa"/>
            <w:vMerge w:val="restart"/>
            <w:vAlign w:val="center"/>
          </w:tcPr>
          <w:p w14:paraId="564E4B60" w14:textId="451619C4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No.</w:t>
            </w:r>
          </w:p>
        </w:tc>
        <w:tc>
          <w:tcPr>
            <w:tcW w:w="2207" w:type="dxa"/>
            <w:vMerge w:val="restart"/>
            <w:vAlign w:val="center"/>
          </w:tcPr>
          <w:p w14:paraId="14AE909F" w14:textId="06E9D958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FONDO</w:t>
            </w:r>
          </w:p>
        </w:tc>
        <w:tc>
          <w:tcPr>
            <w:tcW w:w="1320" w:type="dxa"/>
            <w:vAlign w:val="center"/>
          </w:tcPr>
          <w:p w14:paraId="07EEE913" w14:textId="1889E51F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QUIEN REALIZA</w:t>
            </w:r>
          </w:p>
        </w:tc>
        <w:tc>
          <w:tcPr>
            <w:tcW w:w="1170" w:type="dxa"/>
            <w:vAlign w:val="center"/>
          </w:tcPr>
          <w:p w14:paraId="7370320D" w14:textId="7853524C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EN QUÉ MOMENTO</w:t>
            </w:r>
          </w:p>
        </w:tc>
        <w:tc>
          <w:tcPr>
            <w:tcW w:w="1766" w:type="dxa"/>
            <w:vMerge w:val="restart"/>
            <w:vAlign w:val="center"/>
          </w:tcPr>
          <w:p w14:paraId="323D06BF" w14:textId="7A4F8799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QUÉ SE EVALÚA</w:t>
            </w:r>
          </w:p>
        </w:tc>
        <w:tc>
          <w:tcPr>
            <w:tcW w:w="2069" w:type="dxa"/>
            <w:vMerge w:val="restart"/>
            <w:vAlign w:val="center"/>
          </w:tcPr>
          <w:p w14:paraId="6A38A81F" w14:textId="43DBDF1B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HERRAMIENTA DE INFORMACIÓN</w:t>
            </w:r>
          </w:p>
        </w:tc>
        <w:tc>
          <w:tcPr>
            <w:tcW w:w="1742" w:type="dxa"/>
            <w:vMerge w:val="restart"/>
            <w:vAlign w:val="center"/>
          </w:tcPr>
          <w:p w14:paraId="1A96AC31" w14:textId="36902271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ENTREGABLES</w:t>
            </w:r>
          </w:p>
        </w:tc>
        <w:tc>
          <w:tcPr>
            <w:tcW w:w="2486" w:type="dxa"/>
            <w:gridSpan w:val="2"/>
            <w:vAlign w:val="center"/>
          </w:tcPr>
          <w:p w14:paraId="604F922A" w14:textId="0A919B08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FECHAS</w:t>
            </w:r>
          </w:p>
        </w:tc>
      </w:tr>
      <w:tr w:rsidR="00B850E1" w:rsidRPr="00181E8F" w14:paraId="56B72BBE" w14:textId="77777777" w:rsidTr="00A031DB">
        <w:trPr>
          <w:trHeight w:val="529"/>
        </w:trPr>
        <w:tc>
          <w:tcPr>
            <w:tcW w:w="519" w:type="dxa"/>
            <w:vMerge/>
            <w:vAlign w:val="center"/>
          </w:tcPr>
          <w:p w14:paraId="16D48094" w14:textId="481BFEC6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207" w:type="dxa"/>
            <w:vMerge/>
            <w:vAlign w:val="center"/>
          </w:tcPr>
          <w:p w14:paraId="71557EC3" w14:textId="77777777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320" w:type="dxa"/>
            <w:vAlign w:val="center"/>
          </w:tcPr>
          <w:p w14:paraId="77ECE63D" w14:textId="1D367B0A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EVALUADOR EXTERNO</w:t>
            </w:r>
          </w:p>
        </w:tc>
        <w:tc>
          <w:tcPr>
            <w:tcW w:w="1170" w:type="dxa"/>
            <w:vAlign w:val="center"/>
          </w:tcPr>
          <w:p w14:paraId="5649A579" w14:textId="170EB7FB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FINAL</w:t>
            </w:r>
          </w:p>
        </w:tc>
        <w:tc>
          <w:tcPr>
            <w:tcW w:w="1766" w:type="dxa"/>
            <w:vMerge/>
            <w:vAlign w:val="center"/>
          </w:tcPr>
          <w:p w14:paraId="625E01C6" w14:textId="5BEFF6E8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2069" w:type="dxa"/>
            <w:vMerge/>
            <w:vAlign w:val="center"/>
          </w:tcPr>
          <w:p w14:paraId="4B76FB92" w14:textId="6FA3CBB6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742" w:type="dxa"/>
            <w:vMerge/>
            <w:vAlign w:val="center"/>
          </w:tcPr>
          <w:p w14:paraId="2E9DE66F" w14:textId="51D19090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243" w:type="dxa"/>
            <w:vAlign w:val="center"/>
          </w:tcPr>
          <w:p w14:paraId="7A9DF45B" w14:textId="337FD7E3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INICIO</w:t>
            </w:r>
          </w:p>
        </w:tc>
        <w:tc>
          <w:tcPr>
            <w:tcW w:w="1243" w:type="dxa"/>
            <w:vAlign w:val="center"/>
          </w:tcPr>
          <w:p w14:paraId="18B44491" w14:textId="08E71238" w:rsidR="0086251C" w:rsidRPr="00181E8F" w:rsidRDefault="0086251C" w:rsidP="00275F22">
            <w:pPr>
              <w:tabs>
                <w:tab w:val="left" w:pos="1185"/>
              </w:tabs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TÉRMINO</w:t>
            </w:r>
          </w:p>
        </w:tc>
      </w:tr>
      <w:tr w:rsidR="00B850E1" w:rsidRPr="00181E8F" w14:paraId="540AF6E0" w14:textId="77777777" w:rsidTr="00A031DB">
        <w:trPr>
          <w:trHeight w:val="1050"/>
        </w:trPr>
        <w:tc>
          <w:tcPr>
            <w:tcW w:w="519" w:type="dxa"/>
            <w:vAlign w:val="center"/>
          </w:tcPr>
          <w:p w14:paraId="4C15F349" w14:textId="1171120C" w:rsidR="00625754" w:rsidRPr="00181E8F" w:rsidRDefault="00625754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1</w:t>
            </w:r>
          </w:p>
        </w:tc>
        <w:tc>
          <w:tcPr>
            <w:tcW w:w="2207" w:type="dxa"/>
            <w:vAlign w:val="center"/>
          </w:tcPr>
          <w:p w14:paraId="01231A81" w14:textId="0650611A" w:rsidR="00625754" w:rsidRPr="00181E8F" w:rsidRDefault="004C09BA" w:rsidP="00FF5F43">
            <w:pPr>
              <w:tabs>
                <w:tab w:val="left" w:pos="1185"/>
              </w:tabs>
              <w:spacing w:after="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Fondo de Aportaciones para la Infraestructura Social Municipal (</w:t>
            </w:r>
            <w:r w:rsidR="00625754" w:rsidRPr="00181E8F">
              <w:rPr>
                <w:rFonts w:ascii="Tahoma" w:hAnsi="Tahoma" w:cs="Tahoma"/>
                <w:sz w:val="20"/>
              </w:rPr>
              <w:t>F</w:t>
            </w:r>
            <w:r w:rsidR="00A64261">
              <w:rPr>
                <w:rFonts w:ascii="Tahoma" w:hAnsi="Tahoma" w:cs="Tahoma"/>
                <w:sz w:val="20"/>
              </w:rPr>
              <w:t>AISMUN</w:t>
            </w:r>
            <w:r>
              <w:rPr>
                <w:rFonts w:ascii="Tahoma" w:hAnsi="Tahoma" w:cs="Tahoma"/>
                <w:sz w:val="20"/>
              </w:rPr>
              <w:t>)</w:t>
            </w:r>
            <w:r w:rsidR="00625754" w:rsidRPr="00181E8F">
              <w:rPr>
                <w:rFonts w:ascii="Tahoma" w:hAnsi="Tahoma" w:cs="Tahoma"/>
                <w:sz w:val="20"/>
              </w:rPr>
              <w:t xml:space="preserve"> 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320" w:type="dxa"/>
            <w:vAlign w:val="center"/>
          </w:tcPr>
          <w:p w14:paraId="3ABC7851" w14:textId="77777777" w:rsidR="00625754" w:rsidRPr="00181E8F" w:rsidRDefault="00625754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170" w:type="dxa"/>
            <w:vAlign w:val="center"/>
          </w:tcPr>
          <w:p w14:paraId="6B6090C5" w14:textId="77777777" w:rsidR="00625754" w:rsidRPr="00181E8F" w:rsidRDefault="00625754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766" w:type="dxa"/>
            <w:vAlign w:val="center"/>
          </w:tcPr>
          <w:p w14:paraId="729EB699" w14:textId="5FD8FAC2" w:rsidR="00625754" w:rsidRPr="00181E8F" w:rsidRDefault="00A644B7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CONSISTENCIA Y RESULTADOS</w:t>
            </w:r>
          </w:p>
        </w:tc>
        <w:tc>
          <w:tcPr>
            <w:tcW w:w="2069" w:type="dxa"/>
            <w:vAlign w:val="center"/>
          </w:tcPr>
          <w:p w14:paraId="4DCFEE1D" w14:textId="6FDB23E3" w:rsidR="00625754" w:rsidRPr="00181E8F" w:rsidRDefault="00FC310A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CUESTIONARIO DISEÑADO DE ACUERDO A LOS TDR</w:t>
            </w:r>
          </w:p>
        </w:tc>
        <w:tc>
          <w:tcPr>
            <w:tcW w:w="1742" w:type="dxa"/>
            <w:vAlign w:val="center"/>
          </w:tcPr>
          <w:p w14:paraId="3CEEA2FB" w14:textId="1C69576E" w:rsidR="00625754" w:rsidRPr="00181E8F" w:rsidRDefault="00625754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INFORME FINAL Y RESUMEN EJECUTIVO</w:t>
            </w:r>
          </w:p>
        </w:tc>
        <w:tc>
          <w:tcPr>
            <w:tcW w:w="1243" w:type="dxa"/>
            <w:vAlign w:val="center"/>
          </w:tcPr>
          <w:p w14:paraId="29EF45DC" w14:textId="467F8460" w:rsidR="00625754" w:rsidRPr="00181E8F" w:rsidRDefault="00625754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03/07/202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243" w:type="dxa"/>
            <w:vAlign w:val="center"/>
          </w:tcPr>
          <w:p w14:paraId="5B57D81F" w14:textId="7B875721" w:rsidR="00625754" w:rsidRPr="00181E8F" w:rsidRDefault="00625754" w:rsidP="007B5F9D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31/03/202</w:t>
            </w:r>
            <w:r w:rsidR="00A64261">
              <w:rPr>
                <w:rFonts w:ascii="Tahoma" w:hAnsi="Tahoma" w:cs="Tahoma"/>
                <w:sz w:val="20"/>
              </w:rPr>
              <w:t>5</w:t>
            </w:r>
          </w:p>
        </w:tc>
      </w:tr>
      <w:tr w:rsidR="00B850E1" w:rsidRPr="00181E8F" w14:paraId="13ED1795" w14:textId="77777777" w:rsidTr="00A031DB">
        <w:tc>
          <w:tcPr>
            <w:tcW w:w="519" w:type="dxa"/>
            <w:vAlign w:val="center"/>
          </w:tcPr>
          <w:p w14:paraId="43ADD281" w14:textId="39CE0D22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2</w:t>
            </w:r>
          </w:p>
        </w:tc>
        <w:tc>
          <w:tcPr>
            <w:tcW w:w="2207" w:type="dxa"/>
            <w:vAlign w:val="center"/>
          </w:tcPr>
          <w:p w14:paraId="7E71849D" w14:textId="478A5373" w:rsidR="004B1EF6" w:rsidRPr="00181E8F" w:rsidRDefault="00B850E1" w:rsidP="00FF5F43">
            <w:pPr>
              <w:tabs>
                <w:tab w:val="left" w:pos="1185"/>
              </w:tabs>
              <w:spacing w:after="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Fondo de Aportaciones para el Fortalecimiento de los Municipios (FORTAMUN) 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320" w:type="dxa"/>
            <w:vAlign w:val="center"/>
          </w:tcPr>
          <w:p w14:paraId="63F96E7F" w14:textId="77777777" w:rsidR="004B1EF6" w:rsidRPr="00181E8F" w:rsidRDefault="004B1EF6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170" w:type="dxa"/>
            <w:vAlign w:val="center"/>
          </w:tcPr>
          <w:p w14:paraId="7310FAE4" w14:textId="77777777" w:rsidR="004B1EF6" w:rsidRPr="00181E8F" w:rsidRDefault="004B1EF6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766" w:type="dxa"/>
            <w:vAlign w:val="center"/>
          </w:tcPr>
          <w:p w14:paraId="6D75E739" w14:textId="5A288BC0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ED7904">
              <w:rPr>
                <w:rFonts w:ascii="Tahoma" w:hAnsi="Tahoma" w:cs="Tahoma"/>
                <w:sz w:val="20"/>
              </w:rPr>
              <w:t>CONSISTENCIA Y RESULTADOS</w:t>
            </w:r>
          </w:p>
        </w:tc>
        <w:tc>
          <w:tcPr>
            <w:tcW w:w="2069" w:type="dxa"/>
            <w:vAlign w:val="center"/>
          </w:tcPr>
          <w:p w14:paraId="5F347336" w14:textId="2925AADF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CUESTIONARIO DISEÑADO DE ACUERDO A LOS TDR</w:t>
            </w:r>
          </w:p>
        </w:tc>
        <w:tc>
          <w:tcPr>
            <w:tcW w:w="1742" w:type="dxa"/>
            <w:vAlign w:val="center"/>
          </w:tcPr>
          <w:p w14:paraId="7A34C20B" w14:textId="104BDC93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INFORME FINAL Y RESUMEN EJECUTIVO</w:t>
            </w:r>
          </w:p>
        </w:tc>
        <w:tc>
          <w:tcPr>
            <w:tcW w:w="1243" w:type="dxa"/>
            <w:vAlign w:val="center"/>
          </w:tcPr>
          <w:p w14:paraId="5505219F" w14:textId="6B3FEB57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03/07/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243" w:type="dxa"/>
            <w:vAlign w:val="center"/>
          </w:tcPr>
          <w:p w14:paraId="40E7B3E4" w14:textId="08A061D0" w:rsidR="004B1EF6" w:rsidRPr="00181E8F" w:rsidRDefault="004B1EF6" w:rsidP="007B5F9D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31/03/202</w:t>
            </w:r>
            <w:r w:rsidR="00A64261">
              <w:rPr>
                <w:rFonts w:ascii="Tahoma" w:hAnsi="Tahoma" w:cs="Tahoma"/>
                <w:sz w:val="20"/>
              </w:rPr>
              <w:t>5</w:t>
            </w:r>
          </w:p>
        </w:tc>
      </w:tr>
      <w:tr w:rsidR="00B850E1" w:rsidRPr="00181E8F" w14:paraId="7CA5F6B5" w14:textId="77777777" w:rsidTr="00A031DB">
        <w:tc>
          <w:tcPr>
            <w:tcW w:w="519" w:type="dxa"/>
            <w:vAlign w:val="center"/>
          </w:tcPr>
          <w:p w14:paraId="09AE7C3C" w14:textId="30DAA2BA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3</w:t>
            </w:r>
          </w:p>
        </w:tc>
        <w:tc>
          <w:tcPr>
            <w:tcW w:w="2207" w:type="dxa"/>
            <w:vAlign w:val="center"/>
          </w:tcPr>
          <w:p w14:paraId="05E0B9C1" w14:textId="227FDD2E" w:rsidR="004B1EF6" w:rsidRPr="00181E8F" w:rsidRDefault="00FF5F43" w:rsidP="00FF5F43">
            <w:pPr>
              <w:tabs>
                <w:tab w:val="left" w:pos="1185"/>
              </w:tabs>
              <w:spacing w:after="0"/>
              <w:rPr>
                <w:rFonts w:ascii="Tahoma" w:hAnsi="Tahoma" w:cs="Tahoma"/>
                <w:sz w:val="20"/>
              </w:rPr>
            </w:pPr>
            <w:r w:rsidRPr="00FF5F43">
              <w:rPr>
                <w:rFonts w:ascii="Tahoma" w:hAnsi="Tahoma" w:cs="Tahoma"/>
                <w:sz w:val="20"/>
              </w:rPr>
              <w:t xml:space="preserve">Fondo </w:t>
            </w:r>
            <w:r>
              <w:rPr>
                <w:rFonts w:ascii="Tahoma" w:hAnsi="Tahoma" w:cs="Tahoma"/>
                <w:sz w:val="20"/>
              </w:rPr>
              <w:t>para Entidades Federativas y Municipios Productores d</w:t>
            </w:r>
            <w:r w:rsidRPr="00FF5F43">
              <w:rPr>
                <w:rFonts w:ascii="Tahoma" w:hAnsi="Tahoma" w:cs="Tahoma"/>
                <w:sz w:val="20"/>
              </w:rPr>
              <w:t xml:space="preserve">e Hidrocarburos </w:t>
            </w:r>
            <w:r w:rsidR="00F92929">
              <w:rPr>
                <w:rFonts w:ascii="Tahoma" w:hAnsi="Tahoma" w:cs="Tahoma"/>
                <w:sz w:val="20"/>
              </w:rPr>
              <w:t>(</w:t>
            </w:r>
            <w:r w:rsidR="004B1EF6" w:rsidRPr="00181E8F">
              <w:rPr>
                <w:rFonts w:ascii="Tahoma" w:hAnsi="Tahoma" w:cs="Tahoma"/>
                <w:sz w:val="20"/>
              </w:rPr>
              <w:t>FOPET</w:t>
            </w:r>
            <w:r w:rsidR="00F92929">
              <w:rPr>
                <w:rFonts w:ascii="Tahoma" w:hAnsi="Tahoma" w:cs="Tahoma"/>
                <w:sz w:val="20"/>
              </w:rPr>
              <w:t>)</w:t>
            </w:r>
            <w:r w:rsidR="004B1EF6" w:rsidRPr="00181E8F">
              <w:rPr>
                <w:rFonts w:ascii="Tahoma" w:hAnsi="Tahoma" w:cs="Tahoma"/>
                <w:sz w:val="20"/>
              </w:rPr>
              <w:t xml:space="preserve"> 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320" w:type="dxa"/>
            <w:vAlign w:val="center"/>
          </w:tcPr>
          <w:p w14:paraId="1942DE2F" w14:textId="77777777" w:rsidR="004B1EF6" w:rsidRPr="00181E8F" w:rsidRDefault="004B1EF6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170" w:type="dxa"/>
            <w:vAlign w:val="center"/>
          </w:tcPr>
          <w:p w14:paraId="355265F9" w14:textId="77777777" w:rsidR="004B1EF6" w:rsidRPr="00181E8F" w:rsidRDefault="004B1EF6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766" w:type="dxa"/>
            <w:vAlign w:val="center"/>
          </w:tcPr>
          <w:p w14:paraId="351EE470" w14:textId="608638E3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ED7904">
              <w:rPr>
                <w:rFonts w:ascii="Tahoma" w:hAnsi="Tahoma" w:cs="Tahoma"/>
                <w:sz w:val="20"/>
              </w:rPr>
              <w:t>CONSISTENCIA Y RESULTADOS</w:t>
            </w:r>
          </w:p>
        </w:tc>
        <w:tc>
          <w:tcPr>
            <w:tcW w:w="2069" w:type="dxa"/>
            <w:vAlign w:val="center"/>
          </w:tcPr>
          <w:p w14:paraId="7D2E7480" w14:textId="5E6A8ACB" w:rsidR="004B1EF6" w:rsidRPr="00181E8F" w:rsidRDefault="004B1EF6" w:rsidP="00FF5F43">
            <w:pPr>
              <w:tabs>
                <w:tab w:val="left" w:pos="1185"/>
              </w:tabs>
              <w:spacing w:after="0"/>
              <w:jc w:val="right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CUESTIONARIO DISEÑADO DE ACUERDO A LOS TDR</w:t>
            </w:r>
          </w:p>
        </w:tc>
        <w:tc>
          <w:tcPr>
            <w:tcW w:w="1742" w:type="dxa"/>
            <w:vAlign w:val="center"/>
          </w:tcPr>
          <w:p w14:paraId="7A384E34" w14:textId="49599D10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INFORME FINAL Y RESUMEN EJECUTIVO</w:t>
            </w:r>
          </w:p>
        </w:tc>
        <w:tc>
          <w:tcPr>
            <w:tcW w:w="1243" w:type="dxa"/>
            <w:vAlign w:val="center"/>
          </w:tcPr>
          <w:p w14:paraId="5D1D1CE5" w14:textId="0B0E8CE2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03/07/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243" w:type="dxa"/>
            <w:vAlign w:val="center"/>
          </w:tcPr>
          <w:p w14:paraId="40EA6EB5" w14:textId="4658618C" w:rsidR="004B1EF6" w:rsidRPr="00181E8F" w:rsidRDefault="004B1EF6" w:rsidP="007B5F9D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31/03/202</w:t>
            </w:r>
            <w:r w:rsidR="00A64261">
              <w:rPr>
                <w:rFonts w:ascii="Tahoma" w:hAnsi="Tahoma" w:cs="Tahoma"/>
                <w:sz w:val="20"/>
              </w:rPr>
              <w:t>5</w:t>
            </w:r>
          </w:p>
        </w:tc>
      </w:tr>
      <w:tr w:rsidR="00B850E1" w:rsidRPr="00181E8F" w14:paraId="7F5D7FA7" w14:textId="77777777" w:rsidTr="00A031DB">
        <w:tc>
          <w:tcPr>
            <w:tcW w:w="519" w:type="dxa"/>
            <w:vAlign w:val="center"/>
          </w:tcPr>
          <w:p w14:paraId="05F67F9C" w14:textId="4EA17716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2207" w:type="dxa"/>
            <w:vAlign w:val="center"/>
          </w:tcPr>
          <w:p w14:paraId="5C8A2EE7" w14:textId="3977FE4D" w:rsidR="004B1EF6" w:rsidRPr="00181E8F" w:rsidRDefault="00B7583A" w:rsidP="00FF5F43">
            <w:pPr>
              <w:tabs>
                <w:tab w:val="left" w:pos="1185"/>
              </w:tabs>
              <w:spacing w:after="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 xml:space="preserve">Fondo de Aportaciones para el Fortalecimiento de las Entidades Federativas (FAFEF) 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320" w:type="dxa"/>
            <w:vAlign w:val="center"/>
          </w:tcPr>
          <w:p w14:paraId="3C364CB4" w14:textId="77777777" w:rsidR="004B1EF6" w:rsidRPr="00181E8F" w:rsidRDefault="004B1EF6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170" w:type="dxa"/>
            <w:vAlign w:val="center"/>
          </w:tcPr>
          <w:p w14:paraId="0A2967BE" w14:textId="77777777" w:rsidR="004B1EF6" w:rsidRPr="00181E8F" w:rsidRDefault="004B1EF6" w:rsidP="00FF5F43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766" w:type="dxa"/>
            <w:vAlign w:val="center"/>
          </w:tcPr>
          <w:p w14:paraId="717D8909" w14:textId="18414B23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ED7904">
              <w:rPr>
                <w:rFonts w:ascii="Tahoma" w:hAnsi="Tahoma" w:cs="Tahoma"/>
                <w:sz w:val="20"/>
              </w:rPr>
              <w:t>CONSISTENCIA Y RESULTADOS</w:t>
            </w:r>
          </w:p>
        </w:tc>
        <w:tc>
          <w:tcPr>
            <w:tcW w:w="2069" w:type="dxa"/>
            <w:vAlign w:val="center"/>
          </w:tcPr>
          <w:p w14:paraId="77FF1421" w14:textId="49CA2628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CUESTIONARIO DISEÑADO DE ACUERDO A LOS TDR</w:t>
            </w:r>
          </w:p>
        </w:tc>
        <w:tc>
          <w:tcPr>
            <w:tcW w:w="1742" w:type="dxa"/>
            <w:vAlign w:val="center"/>
          </w:tcPr>
          <w:p w14:paraId="0FB42B8E" w14:textId="0DEB485B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INFORME FINAL Y RESUMEN EJECUTIVO</w:t>
            </w:r>
          </w:p>
        </w:tc>
        <w:tc>
          <w:tcPr>
            <w:tcW w:w="1243" w:type="dxa"/>
            <w:vAlign w:val="center"/>
          </w:tcPr>
          <w:p w14:paraId="0DF799EA" w14:textId="55C57361" w:rsidR="004B1EF6" w:rsidRPr="00181E8F" w:rsidRDefault="004B1EF6" w:rsidP="00FF5F43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03/07/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243" w:type="dxa"/>
            <w:vAlign w:val="center"/>
          </w:tcPr>
          <w:p w14:paraId="6ED869BE" w14:textId="71D95975" w:rsidR="004B1EF6" w:rsidRPr="00181E8F" w:rsidRDefault="004B1EF6" w:rsidP="007B5F9D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31/03/202</w:t>
            </w:r>
            <w:r w:rsidR="00A64261">
              <w:rPr>
                <w:rFonts w:ascii="Tahoma" w:hAnsi="Tahoma" w:cs="Tahoma"/>
                <w:sz w:val="20"/>
              </w:rPr>
              <w:t>5</w:t>
            </w:r>
          </w:p>
        </w:tc>
      </w:tr>
    </w:tbl>
    <w:p w14:paraId="7C272D57" w14:textId="44637F29" w:rsidR="00313593" w:rsidRDefault="00313593" w:rsidP="00313593">
      <w:pPr>
        <w:spacing w:after="160" w:line="259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 w:type="page"/>
      </w:r>
    </w:p>
    <w:p w14:paraId="6B834296" w14:textId="04D318D6" w:rsidR="00313593" w:rsidRDefault="00313593" w:rsidP="00275F22">
      <w:pPr>
        <w:tabs>
          <w:tab w:val="left" w:pos="1185"/>
        </w:tabs>
        <w:jc w:val="both"/>
        <w:rPr>
          <w:rFonts w:ascii="Tahoma" w:hAnsi="Tahoma" w:cs="Tahoma"/>
          <w:sz w:val="20"/>
        </w:rPr>
        <w:sectPr w:rsidR="00313593" w:rsidSect="00621604">
          <w:headerReference w:type="default" r:id="rId9"/>
          <w:pgSz w:w="15840" w:h="12240" w:orient="landscape"/>
          <w:pgMar w:top="1701" w:right="1418" w:bottom="1701" w:left="2693" w:header="709" w:footer="709" w:gutter="0"/>
          <w:cols w:space="708"/>
          <w:docGrid w:linePitch="360"/>
        </w:sectPr>
      </w:pPr>
    </w:p>
    <w:p w14:paraId="03C1B322" w14:textId="01E7FE25" w:rsidR="00F13C8B" w:rsidRPr="00181E8F" w:rsidRDefault="00386548" w:rsidP="00275F22">
      <w:pPr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lastRenderedPageBreak/>
        <w:t xml:space="preserve">IV.  Seguimiento </w:t>
      </w:r>
      <w:r w:rsidR="00F13C8B" w:rsidRPr="00181E8F">
        <w:rPr>
          <w:rFonts w:ascii="Tahoma" w:hAnsi="Tahoma" w:cs="Tahoma"/>
          <w:sz w:val="20"/>
        </w:rPr>
        <w:t>a los aspectos susceptibles de mejora derivados de la evaluación.</w:t>
      </w:r>
    </w:p>
    <w:p w14:paraId="3901CABC" w14:textId="4CD3F5CD" w:rsidR="00F13C8B" w:rsidRPr="00181E8F" w:rsidRDefault="00F13C8B" w:rsidP="00275F22">
      <w:pPr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Los resultados de las evaluaciones se darán</w:t>
      </w:r>
      <w:r w:rsidR="00386548" w:rsidRPr="00181E8F">
        <w:rPr>
          <w:rFonts w:ascii="Tahoma" w:hAnsi="Tahoma" w:cs="Tahoma"/>
          <w:sz w:val="20"/>
        </w:rPr>
        <w:t xml:space="preserve"> a conocer a los titulares</w:t>
      </w:r>
      <w:r w:rsidRPr="00181E8F">
        <w:rPr>
          <w:rFonts w:ascii="Tahoma" w:hAnsi="Tahoma" w:cs="Tahoma"/>
          <w:sz w:val="20"/>
        </w:rPr>
        <w:t xml:space="preserve"> de las dependencias y entidades de la administración municipal, a los responsables directos de los Programas Presupuestarios, se publicará en la página web del H. Ayuntamiento. Las recomendaciones sobr</w:t>
      </w:r>
      <w:r w:rsidR="00386548" w:rsidRPr="00181E8F">
        <w:rPr>
          <w:rFonts w:ascii="Tahoma" w:hAnsi="Tahoma" w:cs="Tahoma"/>
          <w:sz w:val="20"/>
        </w:rPr>
        <w:t xml:space="preserve">e los aspectos susceptibles de </w:t>
      </w:r>
      <w:r w:rsidRPr="00181E8F">
        <w:rPr>
          <w:rFonts w:ascii="Tahoma" w:hAnsi="Tahoma" w:cs="Tahoma"/>
          <w:sz w:val="20"/>
        </w:rPr>
        <w:t xml:space="preserve">mejora y la </w:t>
      </w:r>
      <w:r w:rsidR="00386548" w:rsidRPr="00181E8F">
        <w:rPr>
          <w:rFonts w:ascii="Tahoma" w:hAnsi="Tahoma" w:cs="Tahoma"/>
          <w:sz w:val="20"/>
        </w:rPr>
        <w:t>asignación</w:t>
      </w:r>
      <w:r w:rsidRPr="00181E8F">
        <w:rPr>
          <w:rFonts w:ascii="Tahoma" w:hAnsi="Tahoma" w:cs="Tahoma"/>
          <w:sz w:val="20"/>
        </w:rPr>
        <w:t xml:space="preserve"> presupuestal quedarán sujetas a los resultados </w:t>
      </w:r>
      <w:r w:rsidR="00386548" w:rsidRPr="00181E8F">
        <w:rPr>
          <w:rFonts w:ascii="Tahoma" w:hAnsi="Tahoma" w:cs="Tahoma"/>
          <w:sz w:val="20"/>
        </w:rPr>
        <w:t xml:space="preserve">alcanzados </w:t>
      </w:r>
      <w:r w:rsidRPr="00181E8F">
        <w:rPr>
          <w:rFonts w:ascii="Tahoma" w:hAnsi="Tahoma" w:cs="Tahoma"/>
          <w:sz w:val="20"/>
        </w:rPr>
        <w:t>en estas evaluaciones.</w:t>
      </w:r>
    </w:p>
    <w:p w14:paraId="1520576F" w14:textId="77777777" w:rsidR="00CE400B" w:rsidRDefault="00CE400B" w:rsidP="00CE400B">
      <w:pPr>
        <w:jc w:val="both"/>
        <w:rPr>
          <w:rFonts w:ascii="Tahoma" w:hAnsi="Tahoma" w:cs="Tahoma"/>
          <w:sz w:val="20"/>
        </w:rPr>
      </w:pPr>
      <w:r w:rsidRPr="00CE400B">
        <w:rPr>
          <w:rFonts w:ascii="Tahoma" w:hAnsi="Tahoma" w:cs="Tahoma"/>
          <w:sz w:val="20"/>
        </w:rPr>
        <w:t xml:space="preserve">La evaluación de consistencia y resultados deberá contener para el logro de sus objetivos el desarrollo de los siguientes apartados: </w:t>
      </w:r>
    </w:p>
    <w:p w14:paraId="3277B2F6" w14:textId="059A632C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Características del Programa </w:t>
      </w:r>
    </w:p>
    <w:p w14:paraId="267A050B" w14:textId="2325BB55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Diseño </w:t>
      </w:r>
    </w:p>
    <w:p w14:paraId="1BBE9F72" w14:textId="71061921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Planeación y Orientación a Resultados </w:t>
      </w:r>
    </w:p>
    <w:p w14:paraId="059EDCED" w14:textId="6C683CBB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Cobertura y Focalización </w:t>
      </w:r>
    </w:p>
    <w:p w14:paraId="7AF484B1" w14:textId="7A1B992D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Operación </w:t>
      </w:r>
    </w:p>
    <w:p w14:paraId="5F235763" w14:textId="027AF7E7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Percepción de la Población Atendida </w:t>
      </w:r>
    </w:p>
    <w:p w14:paraId="476A41C0" w14:textId="676418D8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Medición de Resultados </w:t>
      </w:r>
    </w:p>
    <w:p w14:paraId="2D17BE11" w14:textId="777AFC7B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Análisis de Fortalezas, Oportunidades, Debilidades, Amenazas y Recomendaciones </w:t>
      </w:r>
    </w:p>
    <w:p w14:paraId="69D90571" w14:textId="4CF7561D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Conclusiones </w:t>
      </w:r>
    </w:p>
    <w:p w14:paraId="732DA150" w14:textId="28780061" w:rsidR="00CE400B" w:rsidRPr="0055506B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 xml:space="preserve">Ficha técnica </w:t>
      </w:r>
    </w:p>
    <w:p w14:paraId="7A89867F" w14:textId="17572C15" w:rsidR="00386548" w:rsidRDefault="00CE400B" w:rsidP="0055506B">
      <w:pPr>
        <w:pStyle w:val="Prrafodelista"/>
        <w:numPr>
          <w:ilvl w:val="0"/>
          <w:numId w:val="12"/>
        </w:numPr>
        <w:ind w:left="567"/>
        <w:jc w:val="both"/>
        <w:rPr>
          <w:rFonts w:ascii="Tahoma" w:hAnsi="Tahoma" w:cs="Tahoma"/>
          <w:sz w:val="20"/>
        </w:rPr>
      </w:pPr>
      <w:r w:rsidRPr="0055506B">
        <w:rPr>
          <w:rFonts w:ascii="Tahoma" w:hAnsi="Tahoma" w:cs="Tahoma"/>
          <w:sz w:val="20"/>
        </w:rPr>
        <w:t>Anexos</w:t>
      </w:r>
    </w:p>
    <w:p w14:paraId="0642D183" w14:textId="5A437B5A" w:rsidR="00A031DB" w:rsidRDefault="00A031DB" w:rsidP="00A031DB">
      <w:pPr>
        <w:jc w:val="both"/>
        <w:rPr>
          <w:rFonts w:ascii="Tahoma" w:hAnsi="Tahoma" w:cs="Tahoma"/>
          <w:sz w:val="20"/>
        </w:rPr>
      </w:pPr>
    </w:p>
    <w:p w14:paraId="69E0205B" w14:textId="73AA899B" w:rsidR="00A031DB" w:rsidRDefault="00A031DB" w:rsidP="00A031DB">
      <w:p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V. EVALUACIÓN DEL RAMO 28. PARTICIPACIONES FEDERALES A ENTIDADES FEDERATIVAS Y MUNICIPIOS.</w:t>
      </w:r>
    </w:p>
    <w:p w14:paraId="0BF07D7E" w14:textId="24143A60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El Ramo General 28 Participaciones a Entidades Federativas y Municipios, se refiere a los recursos que se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transfieren a las entidades federativas y a los municipios, correspondientes a las participaciones en ingresos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federales e incentivos económicos, de acuerdo con la Ley de Coordinación Fiscal y los Convenios de Adhesión al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Sistema Nacional de Coordinación Fiscal y sus anexos, así como de conformidad con los Convenios de Colaboración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Administrativa en Materia Fiscal Federal y sus anexos.</w:t>
      </w:r>
    </w:p>
    <w:p w14:paraId="240E6CCB" w14:textId="5A3605B6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Los recursos del Ramo General 28 no están etiquetados, es decir, no tienen un destino específico en el gasto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de los gobiernos locales. Su carácter principal es resarcitorio; por lo que, tiene como fin asignar los recursos de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manera proporcional a la participación de las entidades en la actividad económica y la recaudación, y por lo tanto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pretende generar incentivos para incrementar el crecimiento económico y el esfuerzo recaudatorio, principalmente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con medidas recientemente adoptadas como la modificación de la fórmula de distribución del Fondo de Fomento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Municipal y la sustitución del Fondo de Fiscalización por el Fondo de Fiscalización y Recaudación. En el primer caso,</w:t>
      </w:r>
    </w:p>
    <w:p w14:paraId="5870700D" w14:textId="77777777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lastRenderedPageBreak/>
        <w:t>se incentiva la recaudación coordinada del Impuesto Predial con la finalidad de incrementar la eficacia en el cobro.</w:t>
      </w:r>
    </w:p>
    <w:p w14:paraId="487DA428" w14:textId="6756E08A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En el segundo caso, se incorporaron las variables de "ingresos de libre disposición" y "recaudación de impuestos y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derechos locales" para incentivar también la recaudación de los mismos y fortalecer con ello las haciendas públicas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locales.</w:t>
      </w:r>
    </w:p>
    <w:p w14:paraId="170F77B0" w14:textId="77777777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Los fondos de participaciones son los siguientes:</w:t>
      </w:r>
    </w:p>
    <w:p w14:paraId="0E74E014" w14:textId="22DC7FE5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1) Fondo General de Participaciones, que se constituye con el 20 por ciento de la RFP y se distribuye mediante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la fórmula establecida en el artículo 2o de la Ley de Coordinación Fiscal, atendiendo a criterios de contribución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económica y recaudatorios, ponderados por población.</w:t>
      </w:r>
    </w:p>
    <w:p w14:paraId="3204F441" w14:textId="1C2E7B04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2) Fondo de Fomento Municipal, integrado con el 1 por ciento de la RFP, y se distribuye conforme a la fórmula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establecida en el artículo 2-A de la Ley de Coordinación Fiscal, mediante la cual se incentiva la recaudación local,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así como la coordinación entre los municipios y el gobierno estatal para la administración del impuesto predial por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parte de este último.</w:t>
      </w:r>
    </w:p>
    <w:p w14:paraId="55F579CD" w14:textId="49D7D096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3) Impuesto Especial sobre Producción y Servicios, en el que las entidades federativas participan del 20 por ciento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de la recaudación que se obtenga por la venta de cerveza, bebidas refrescantes, alcohol, bebidas alcohólicas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fermentadas y bebidas alcohólicas, y del 8 por ciento de la recaudación en el caso de tabacos labrados.</w:t>
      </w:r>
    </w:p>
    <w:p w14:paraId="73C47D1D" w14:textId="12253DBE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4) Fondo de Fiscalización y Recaudación, que se integra con el 1.25 por ciento de la RFP, el cual premia e incentiva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las labores de fiscalización que realizan las entidades federativas y considera dos indicadores de recaudación: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eficiencia recaudatoria y fortaleza recaudatoria, medidos de acuerdo con el incremento en el cobro de los impuestos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y derechos locales (incluido el impuesto predial y los derechos por suministro de agua), y la participación de los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ingresos propios sobre los ingresos de libre disposición, respectivamente.</w:t>
      </w:r>
    </w:p>
    <w:p w14:paraId="311D9C5E" w14:textId="415D3FE9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5) Fondo de Compensación, mediante el cual se distribuyen 2/11 de la recaudación derivada de las cuotas aplicadas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a la venta final de gasolina y diésel, de acuerdo con lo establecido en el artículo 2°-A, de la Ley del Impuesto Especial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sobre Producción y Servicios. Dichos recursos se distribuyen entre las 10 entidades federativas que, de acuerdo con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la última información oficial del Instituto Nacional de Estadística y Geografía (INEGI), tengan los menores niveles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de Producto Interno Bruto per cápita no minero y no petrolero.</w:t>
      </w:r>
    </w:p>
    <w:p w14:paraId="5F3C4931" w14:textId="36206007" w:rsid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6) 9/11 de la recaudación por concepto de las cuotas establecidas en el artículo 2°-A, de la Ley del Impuesto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Especial sobre Producción y Servicios, que corresponderá a las entidades federativas adheridas al Sistema Nacional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de Coordinación Fiscal, en función del consumo efectuado en su territorio, de acuerdo con la información que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Petróleos Mexicanos y los demás permisionarios para el expendio al público y la distribución de gasolinas y diésel,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proporcionen a la Secretaría de Hacienda y Crédito Público.</w:t>
      </w:r>
    </w:p>
    <w:p w14:paraId="2FCFC2F5" w14:textId="5A2C9B7E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lastRenderedPageBreak/>
        <w:t>7) Fondo de Extracción de Hidrocarburos, está conformado por los recursos que le transfiera el Fondo Mexicano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del Petróleo para la Estabilización y el Desarrollo, en términos del artículo 91 de la Ley Federal de Presupuesto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y Responsabilidad Hacendaria. Se distribuye entre las entidades federativas que formen parte de la clasificación</w:t>
      </w:r>
      <w:r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 xml:space="preserve">de extracción de petróleo y gas definida en el último censo económico realizado por el INEGI. </w:t>
      </w:r>
    </w:p>
    <w:p w14:paraId="5E8CE888" w14:textId="54D4CBB9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8) Fondo de Compensación del Impuesto sobre Automóviles Nuevos, creado a partir del ejercicio fiscal 2006,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con el objetivo de resarcir a las entidades federativas la disminución de ingresos derivada de la ampliación de la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exención de dicho impuesto referida en el primer párrafo de la Ley del Impuesto sobre Automóviles Nuevos. Las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aportaciones para dicho Fondo, conforme al último párrafo del mencionado artículo 14 de la Ley Federal del Impuesto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sobre Automóviles Nuevos, se determinan y actualizan anualmente en el respectivo Presupuesto de Egresos de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la Federación.</w:t>
      </w:r>
    </w:p>
    <w:p w14:paraId="3429BDFF" w14:textId="5668F8B8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9) 0.136 por ciento de la Recaudación Federal Participable, que se entrega a los municipios colindantes con la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frontera o los litorales por los que materialmente se realiza la entrada o la salida del país de los bienes que se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importan o exportan, conforme a lo establecido en el artículo 2-A, fracción I, de la Ley de Coordinación Fiscal.</w:t>
      </w:r>
    </w:p>
    <w:p w14:paraId="3F68A333" w14:textId="22E9C106" w:rsidR="00A031DB" w:rsidRPr="00A031DB" w:rsidRDefault="00A031DB" w:rsidP="00A031DB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10) La transferencia del Fondo Mexicano del Petróleo para la Estabilización y el Desarrollo, destinada a los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municipios colindantes con la frontera o litorales por los que se realice materialmente la salida del país de los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hidrocarburos, misma que será el monto que resulte de multiplicar los ingresos petroleros aprobados en la Ley de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Ingresos de la Federación de 2021, por el factor de 0.00051, y se distribuirá conforme a lo establecido en el artículo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2-A, fracción II, de la Ley de Coordinación Fiscal.</w:t>
      </w:r>
    </w:p>
    <w:p w14:paraId="1617196E" w14:textId="24ED3D92" w:rsidR="004E2818" w:rsidRPr="004E2818" w:rsidRDefault="00A031DB" w:rsidP="004E2818">
      <w:pPr>
        <w:jc w:val="both"/>
        <w:rPr>
          <w:rFonts w:ascii="Tahoma" w:hAnsi="Tahoma" w:cs="Tahoma"/>
          <w:sz w:val="20"/>
        </w:rPr>
      </w:pPr>
      <w:r w:rsidRPr="00A031DB">
        <w:rPr>
          <w:rFonts w:ascii="Tahoma" w:hAnsi="Tahoma" w:cs="Tahoma"/>
          <w:sz w:val="20"/>
        </w:rPr>
        <w:t>11) El Fondo de Compensación del Régimen de Pequeños Contribuyentes y del Régimen de Intermedios, se</w:t>
      </w:r>
      <w:r w:rsidR="004E2818">
        <w:rPr>
          <w:rFonts w:ascii="Tahoma" w:hAnsi="Tahoma" w:cs="Tahoma"/>
          <w:sz w:val="20"/>
        </w:rPr>
        <w:t xml:space="preserve"> </w:t>
      </w:r>
      <w:r w:rsidRPr="00A031DB">
        <w:rPr>
          <w:rFonts w:ascii="Tahoma" w:hAnsi="Tahoma" w:cs="Tahoma"/>
          <w:sz w:val="20"/>
        </w:rPr>
        <w:t>integrará en los términos del Artículo Quinto Transitorio de la Ley de Ingresos de la Federación para el ejercicio fiscal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de 2014, Quinto Transitorio de la Ley de Ingresos de la Federación para el ejercicio fiscal de 2015, Quinto Transitorio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de la Ley de Ingresos de la Federación para el ejercicio fiscal de 2016, Quinto Transitorio de la Ley de Ingresos de la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Federación para el ejercicio fiscal de 2017, Quinto Transitorio de la Ley de Ingresos de la Federación para el ejercicio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fiscal de 2018, Cuarto Transitorio de la Ley de Ingresos de la Federación para el ejercicio fiscal de 2019 y Cuarto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Transitorio de la Ley de Ingresos de la Federación para el ejercicio fiscal de 2020, considerando la recaudación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correspondiente a los regímenes de Pequeños Contribuyentes e Intermedios que, en el ejercicio fiscal 2013, las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entidades federativas hayan reportado en la Cuenta Mensual Comprobada de Ingresos Coordinados. Se garantiza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el 77.614 por ciento de los recursos del Régimen de Intermedios recaudado en 2013, actualizado por la inflación y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una proporción decreciente (desde 100 por ciento en 2014 hasta 0 por ciento a partir de 2024) de la recaudación</w:t>
      </w:r>
      <w:r w:rsidR="004E2818">
        <w:rPr>
          <w:rFonts w:ascii="Tahoma" w:hAnsi="Tahoma" w:cs="Tahoma"/>
          <w:sz w:val="20"/>
        </w:rPr>
        <w:t xml:space="preserve"> </w:t>
      </w:r>
      <w:r w:rsidR="004E2818" w:rsidRPr="004E2818">
        <w:rPr>
          <w:rFonts w:ascii="Tahoma" w:hAnsi="Tahoma" w:cs="Tahoma"/>
          <w:sz w:val="20"/>
        </w:rPr>
        <w:t>del Impuesto sobre la Renta del Régimen de Pequeños Contribuyentes de 2013, actualizado por la inflación.</w:t>
      </w:r>
    </w:p>
    <w:p w14:paraId="3FD5DBD2" w14:textId="335C9E43" w:rsidR="004E2818" w:rsidRPr="004E2818" w:rsidRDefault="004E2818" w:rsidP="004E2818">
      <w:pPr>
        <w:jc w:val="both"/>
        <w:rPr>
          <w:rFonts w:ascii="Tahoma" w:hAnsi="Tahoma" w:cs="Tahoma"/>
          <w:sz w:val="20"/>
        </w:rPr>
      </w:pPr>
      <w:r w:rsidRPr="004E2818">
        <w:rPr>
          <w:rFonts w:ascii="Tahoma" w:hAnsi="Tahoma" w:cs="Tahoma"/>
          <w:sz w:val="20"/>
        </w:rPr>
        <w:t>12) Conforme a lo establecido en el artículo 3-B de la Ley de Coordinación Fiscal, se entrega a las entidades el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100 por ciento de la recaudación que se obtenga del Impuesto sobre la Renta que efectivamente se entere a la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Federación, correspondiente al salario del personal que preste o desempeñe un servicio personal subordinado en las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 xml:space="preserve">dependencias de la entidad federativa, del </w:t>
      </w:r>
      <w:r w:rsidRPr="004E2818">
        <w:rPr>
          <w:rFonts w:ascii="Tahoma" w:hAnsi="Tahoma" w:cs="Tahoma"/>
          <w:sz w:val="20"/>
        </w:rPr>
        <w:lastRenderedPageBreak/>
        <w:t>municipio o Alcaldías de la Ciudad de México, así como en sus respectivos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organismos autónomos y entidades paraestatales y paramunicipales, siempre que el salario sea efectivamente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pagado por los entes mencionados con cargo a sus participaciones u otros ingresos locales.</w:t>
      </w:r>
    </w:p>
    <w:p w14:paraId="76D82AAC" w14:textId="25951429" w:rsidR="004E2818" w:rsidRPr="004E2818" w:rsidRDefault="004E2818" w:rsidP="004E2818">
      <w:pPr>
        <w:jc w:val="both"/>
        <w:rPr>
          <w:rFonts w:ascii="Tahoma" w:hAnsi="Tahoma" w:cs="Tahoma"/>
          <w:sz w:val="20"/>
        </w:rPr>
      </w:pPr>
      <w:r w:rsidRPr="004E2818">
        <w:rPr>
          <w:rFonts w:ascii="Tahoma" w:hAnsi="Tahoma" w:cs="Tahoma"/>
          <w:sz w:val="20"/>
        </w:rPr>
        <w:t>Por otra parte, se cubren a las entidades federativas los incentivos económicos por el Impuesto sobre Automóviles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Nuevos, además de otros incentivos relacionados con la fiscalización de diversos impuestos, entre otros.</w:t>
      </w:r>
    </w:p>
    <w:p w14:paraId="17F3C9A5" w14:textId="2C5CD988" w:rsidR="004E2818" w:rsidRDefault="004E2818" w:rsidP="004E2818">
      <w:pPr>
        <w:jc w:val="both"/>
        <w:rPr>
          <w:rFonts w:ascii="Tahoma" w:hAnsi="Tahoma" w:cs="Tahoma"/>
          <w:sz w:val="20"/>
        </w:rPr>
      </w:pPr>
      <w:r w:rsidRPr="004E2818">
        <w:rPr>
          <w:rFonts w:ascii="Tahoma" w:hAnsi="Tahoma" w:cs="Tahoma"/>
          <w:sz w:val="20"/>
        </w:rPr>
        <w:t>Adicionalmente al incentivo que ya perciben las entidades federativas derivado del artículo 127 de la Ley del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Impuesto sobre la Renta (ISR); a partir de 2020 también se les otorga el derivado de la enajenación de bienes</w:t>
      </w:r>
      <w:r>
        <w:rPr>
          <w:rFonts w:ascii="Tahoma" w:hAnsi="Tahoma" w:cs="Tahoma"/>
          <w:sz w:val="20"/>
        </w:rPr>
        <w:t xml:space="preserve"> </w:t>
      </w:r>
      <w:r w:rsidRPr="004E2818">
        <w:rPr>
          <w:rFonts w:ascii="Tahoma" w:hAnsi="Tahoma" w:cs="Tahoma"/>
          <w:sz w:val="20"/>
        </w:rPr>
        <w:t>inmuebles establecido en el artículo 126 de la Ley del ISR.</w:t>
      </w:r>
    </w:p>
    <w:p w14:paraId="640AA29A" w14:textId="77777777" w:rsidR="000D7EED" w:rsidRDefault="000D7EED" w:rsidP="004B3652">
      <w:pPr>
        <w:jc w:val="both"/>
        <w:rPr>
          <w:rFonts w:ascii="Tahoma" w:hAnsi="Tahoma" w:cs="Tahoma"/>
          <w:sz w:val="20"/>
        </w:rPr>
      </w:pPr>
    </w:p>
    <w:p w14:paraId="2661EA43" w14:textId="6658498D" w:rsidR="004B3652" w:rsidRDefault="000D7EED" w:rsidP="004B3652">
      <w:pPr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La evaluación para los Fondos del Ramo 28, deberán contener como mínimo</w:t>
      </w:r>
      <w:r w:rsidR="004B3652" w:rsidRPr="00CE400B">
        <w:rPr>
          <w:rFonts w:ascii="Tahoma" w:hAnsi="Tahoma" w:cs="Tahoma"/>
          <w:sz w:val="20"/>
        </w:rPr>
        <w:t xml:space="preserve"> los siguientes apartados: </w:t>
      </w:r>
    </w:p>
    <w:p w14:paraId="56C36632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Criterios técnicos para la Evaluación del Fondo de Participaciones Federales del Ramo General 28.</w:t>
      </w:r>
    </w:p>
    <w:p w14:paraId="21345E70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Análisis de Contribución.</w:t>
      </w:r>
    </w:p>
    <w:p w14:paraId="7117B318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Hallazgos.</w:t>
      </w:r>
    </w:p>
    <w:p w14:paraId="353E99B4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Análisis FODA.</w:t>
      </w:r>
    </w:p>
    <w:p w14:paraId="3D9B5D24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Recomendaciones.</w:t>
      </w:r>
    </w:p>
    <w:p w14:paraId="0C510440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Conclusiones.</w:t>
      </w:r>
    </w:p>
    <w:p w14:paraId="1B1CBA62" w14:textId="77777777" w:rsidR="000D7EED" w:rsidRPr="000D7EED" w:rsidRDefault="000D7EED" w:rsidP="000D7EED">
      <w:pPr>
        <w:pStyle w:val="Prrafodelista"/>
        <w:numPr>
          <w:ilvl w:val="0"/>
          <w:numId w:val="14"/>
        </w:numPr>
        <w:jc w:val="both"/>
        <w:rPr>
          <w:rFonts w:ascii="Tahoma" w:hAnsi="Tahoma" w:cs="Tahoma"/>
          <w:sz w:val="20"/>
        </w:rPr>
      </w:pPr>
      <w:r w:rsidRPr="000D7EED">
        <w:rPr>
          <w:rFonts w:ascii="Tahoma" w:hAnsi="Tahoma" w:cs="Tahoma"/>
          <w:sz w:val="20"/>
        </w:rPr>
        <w:t>Valoración Final.</w:t>
      </w:r>
    </w:p>
    <w:p w14:paraId="438F7364" w14:textId="77777777" w:rsidR="004B3652" w:rsidRDefault="004B3652" w:rsidP="004E2818">
      <w:pPr>
        <w:jc w:val="both"/>
        <w:rPr>
          <w:rFonts w:ascii="Tahoma" w:hAnsi="Tahoma" w:cs="Tahoma"/>
          <w:sz w:val="20"/>
        </w:rPr>
      </w:pPr>
    </w:p>
    <w:tbl>
      <w:tblPr>
        <w:tblStyle w:val="Tablaconcuadrcula"/>
        <w:tblW w:w="8950" w:type="dxa"/>
        <w:tblInd w:w="-5" w:type="dxa"/>
        <w:tblLook w:val="04A0" w:firstRow="1" w:lastRow="0" w:firstColumn="1" w:lastColumn="0" w:noHBand="0" w:noVBand="1"/>
      </w:tblPr>
      <w:tblGrid>
        <w:gridCol w:w="3402"/>
        <w:gridCol w:w="1320"/>
        <w:gridCol w:w="1742"/>
        <w:gridCol w:w="1243"/>
        <w:gridCol w:w="1243"/>
      </w:tblGrid>
      <w:tr w:rsidR="00F55E09" w:rsidRPr="00181E8F" w14:paraId="34820580" w14:textId="77777777" w:rsidTr="00F55E09">
        <w:trPr>
          <w:trHeight w:val="464"/>
        </w:trPr>
        <w:tc>
          <w:tcPr>
            <w:tcW w:w="3402" w:type="dxa"/>
            <w:vMerge w:val="restart"/>
            <w:vAlign w:val="center"/>
          </w:tcPr>
          <w:p w14:paraId="07602ADB" w14:textId="1CC76DF0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EVALUACIÓN</w:t>
            </w:r>
          </w:p>
        </w:tc>
        <w:tc>
          <w:tcPr>
            <w:tcW w:w="1320" w:type="dxa"/>
            <w:vAlign w:val="center"/>
          </w:tcPr>
          <w:p w14:paraId="0F58C5C4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QUIEN REALIZA</w:t>
            </w:r>
          </w:p>
        </w:tc>
        <w:tc>
          <w:tcPr>
            <w:tcW w:w="1742" w:type="dxa"/>
            <w:vMerge w:val="restart"/>
            <w:vAlign w:val="center"/>
          </w:tcPr>
          <w:p w14:paraId="2CD51EC6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ENTREGABLES</w:t>
            </w:r>
          </w:p>
        </w:tc>
        <w:tc>
          <w:tcPr>
            <w:tcW w:w="2486" w:type="dxa"/>
            <w:gridSpan w:val="2"/>
            <w:vAlign w:val="center"/>
          </w:tcPr>
          <w:p w14:paraId="070A62EE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FECHAS</w:t>
            </w:r>
          </w:p>
        </w:tc>
      </w:tr>
      <w:tr w:rsidR="00F55E09" w:rsidRPr="00181E8F" w14:paraId="6597B419" w14:textId="77777777" w:rsidTr="00F55E09">
        <w:trPr>
          <w:trHeight w:val="417"/>
        </w:trPr>
        <w:tc>
          <w:tcPr>
            <w:tcW w:w="3402" w:type="dxa"/>
            <w:vMerge/>
            <w:vAlign w:val="center"/>
          </w:tcPr>
          <w:p w14:paraId="27C54686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320" w:type="dxa"/>
            <w:vAlign w:val="center"/>
          </w:tcPr>
          <w:p w14:paraId="562F4823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EVALUADOR EXTERNO</w:t>
            </w:r>
          </w:p>
        </w:tc>
        <w:tc>
          <w:tcPr>
            <w:tcW w:w="1742" w:type="dxa"/>
            <w:vMerge/>
            <w:vAlign w:val="center"/>
          </w:tcPr>
          <w:p w14:paraId="4B7665DC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243" w:type="dxa"/>
            <w:vAlign w:val="center"/>
          </w:tcPr>
          <w:p w14:paraId="182E7B59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INICIO</w:t>
            </w:r>
          </w:p>
        </w:tc>
        <w:tc>
          <w:tcPr>
            <w:tcW w:w="1243" w:type="dxa"/>
            <w:vAlign w:val="center"/>
          </w:tcPr>
          <w:p w14:paraId="4A3EC851" w14:textId="77777777" w:rsidR="00F55E09" w:rsidRPr="00181E8F" w:rsidRDefault="00F55E09" w:rsidP="00F55E09">
            <w:pPr>
              <w:tabs>
                <w:tab w:val="left" w:pos="1185"/>
              </w:tabs>
              <w:spacing w:after="0" w:line="240" w:lineRule="auto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TÉRMINO</w:t>
            </w:r>
          </w:p>
        </w:tc>
      </w:tr>
      <w:tr w:rsidR="00F55E09" w:rsidRPr="00181E8F" w14:paraId="7DF5F740" w14:textId="77777777" w:rsidTr="00F55E09">
        <w:trPr>
          <w:trHeight w:val="1050"/>
        </w:trPr>
        <w:tc>
          <w:tcPr>
            <w:tcW w:w="3402" w:type="dxa"/>
            <w:vAlign w:val="center"/>
          </w:tcPr>
          <w:p w14:paraId="7B1A699D" w14:textId="182BCE4A" w:rsidR="00F55E09" w:rsidRPr="00181E8F" w:rsidRDefault="00F55E09" w:rsidP="008D0568">
            <w:pPr>
              <w:tabs>
                <w:tab w:val="left" w:pos="1185"/>
              </w:tabs>
              <w:spacing w:after="0"/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EVALUACIÓN EXTERNA DE LOS FONDOS DE PARTICIPACIONES FEDERALES DEL RAMO GENERAL 28</w:t>
            </w:r>
          </w:p>
        </w:tc>
        <w:tc>
          <w:tcPr>
            <w:tcW w:w="1320" w:type="dxa"/>
            <w:vAlign w:val="center"/>
          </w:tcPr>
          <w:p w14:paraId="3F529E14" w14:textId="77777777" w:rsidR="00F55E09" w:rsidRPr="00181E8F" w:rsidRDefault="00F55E09" w:rsidP="008D0568">
            <w:pPr>
              <w:pStyle w:val="Prrafodelista"/>
              <w:numPr>
                <w:ilvl w:val="0"/>
                <w:numId w:val="3"/>
              </w:num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</w:p>
        </w:tc>
        <w:tc>
          <w:tcPr>
            <w:tcW w:w="1742" w:type="dxa"/>
            <w:vAlign w:val="center"/>
          </w:tcPr>
          <w:p w14:paraId="1619172B" w14:textId="77777777" w:rsidR="00F55E09" w:rsidRPr="00181E8F" w:rsidRDefault="00F55E09" w:rsidP="008D0568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INFORME FINAL Y RESUMEN EJECUTIVO</w:t>
            </w:r>
          </w:p>
        </w:tc>
        <w:tc>
          <w:tcPr>
            <w:tcW w:w="1243" w:type="dxa"/>
            <w:vAlign w:val="center"/>
          </w:tcPr>
          <w:p w14:paraId="5B9A7EE6" w14:textId="7240BC29" w:rsidR="00F55E09" w:rsidRPr="00181E8F" w:rsidRDefault="00F55E09" w:rsidP="008D0568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03/07/</w:t>
            </w:r>
            <w:r w:rsidR="004D65C0" w:rsidRPr="00181E8F">
              <w:rPr>
                <w:rFonts w:ascii="Tahoma" w:hAnsi="Tahoma" w:cs="Tahoma"/>
                <w:sz w:val="20"/>
              </w:rPr>
              <w:t>202</w:t>
            </w:r>
            <w:r w:rsidR="00A64261">
              <w:rPr>
                <w:rFonts w:ascii="Tahoma" w:hAnsi="Tahoma" w:cs="Tahoma"/>
                <w:sz w:val="20"/>
              </w:rPr>
              <w:t>4</w:t>
            </w:r>
          </w:p>
        </w:tc>
        <w:tc>
          <w:tcPr>
            <w:tcW w:w="1243" w:type="dxa"/>
            <w:vAlign w:val="center"/>
          </w:tcPr>
          <w:p w14:paraId="510312D3" w14:textId="0D2DF1BB" w:rsidR="00F55E09" w:rsidRPr="00181E8F" w:rsidRDefault="00F55E09" w:rsidP="007B5F9D">
            <w:pPr>
              <w:tabs>
                <w:tab w:val="left" w:pos="1185"/>
              </w:tabs>
              <w:spacing w:after="0"/>
              <w:jc w:val="center"/>
              <w:rPr>
                <w:rFonts w:ascii="Tahoma" w:hAnsi="Tahoma" w:cs="Tahoma"/>
                <w:sz w:val="20"/>
              </w:rPr>
            </w:pPr>
            <w:r w:rsidRPr="00181E8F">
              <w:rPr>
                <w:rFonts w:ascii="Tahoma" w:hAnsi="Tahoma" w:cs="Tahoma"/>
                <w:sz w:val="20"/>
              </w:rPr>
              <w:t>31/03/202</w:t>
            </w:r>
            <w:r w:rsidR="00A64261">
              <w:rPr>
                <w:rFonts w:ascii="Tahoma" w:hAnsi="Tahoma" w:cs="Tahoma"/>
                <w:sz w:val="20"/>
              </w:rPr>
              <w:t>5</w:t>
            </w:r>
          </w:p>
        </w:tc>
      </w:tr>
    </w:tbl>
    <w:p w14:paraId="74A33012" w14:textId="77777777" w:rsidR="00F55E09" w:rsidRDefault="00F55E09" w:rsidP="004E2818">
      <w:pPr>
        <w:jc w:val="both"/>
        <w:rPr>
          <w:rFonts w:ascii="Tahoma" w:hAnsi="Tahoma" w:cs="Tahoma"/>
          <w:sz w:val="20"/>
        </w:rPr>
      </w:pPr>
    </w:p>
    <w:p w14:paraId="068D59CC" w14:textId="77777777" w:rsidR="00F55E09" w:rsidRDefault="00F55E09">
      <w:pPr>
        <w:spacing w:after="160" w:line="259" w:lineRule="auto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br w:type="page"/>
      </w:r>
    </w:p>
    <w:p w14:paraId="14CB6EA8" w14:textId="4B4A9044" w:rsidR="00F13C8B" w:rsidRPr="00181E8F" w:rsidRDefault="00F13C8B" w:rsidP="00275F22">
      <w:pPr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lastRenderedPageBreak/>
        <w:t>BIBLIOGRAFÍA</w:t>
      </w:r>
    </w:p>
    <w:p w14:paraId="5B60ED22" w14:textId="3BA72232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(PNUD), O. d. (2002). Manual de Seguimiento y Evaluación de Resultados.  New York, NY 10017, USA.</w:t>
      </w:r>
    </w:p>
    <w:p w14:paraId="522D4523" w14:textId="77777777" w:rsidR="00625754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 xml:space="preserve">CONEVAL. (30 de marzo de 2007). Consejo Nacional de Evaluación de la Política Social. Obtenido de http://www.coneval.gob.mx/Evaluacion/NME/Paginas/LineamientosGenerales.aspx </w:t>
      </w:r>
    </w:p>
    <w:p w14:paraId="43AFCE44" w14:textId="2DC21F71" w:rsidR="00F13C8B" w:rsidRPr="00181E8F" w:rsidRDefault="00F13C8B" w:rsidP="00275F22">
      <w:pPr>
        <w:spacing w:before="240" w:after="0"/>
        <w:jc w:val="both"/>
        <w:rPr>
          <w:rStyle w:val="Hipervnculo"/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CONEVAL. Términos de Referencia. (04 de febre</w:t>
      </w:r>
      <w:r w:rsidR="00386548" w:rsidRPr="00181E8F">
        <w:rPr>
          <w:rFonts w:ascii="Tahoma" w:hAnsi="Tahoma" w:cs="Tahoma"/>
          <w:sz w:val="20"/>
        </w:rPr>
        <w:t xml:space="preserve">ro de 2015).  Consejo Nacional </w:t>
      </w:r>
      <w:r w:rsidRPr="00181E8F">
        <w:rPr>
          <w:rFonts w:ascii="Tahoma" w:hAnsi="Tahoma" w:cs="Tahoma"/>
          <w:sz w:val="20"/>
        </w:rPr>
        <w:t xml:space="preserve">de </w:t>
      </w:r>
      <w:r w:rsidR="00386548" w:rsidRPr="00181E8F">
        <w:rPr>
          <w:rFonts w:ascii="Tahoma" w:hAnsi="Tahoma" w:cs="Tahoma"/>
          <w:sz w:val="20"/>
        </w:rPr>
        <w:t xml:space="preserve">Evaluación de la </w:t>
      </w:r>
      <w:r w:rsidRPr="00181E8F">
        <w:rPr>
          <w:rFonts w:ascii="Tahoma" w:hAnsi="Tahoma" w:cs="Tahoma"/>
          <w:sz w:val="20"/>
        </w:rPr>
        <w:t>Política de Desarrollo Social. Obtenido de http://www.coneval.gob.mx/evaluacion/Paginas/Normatividad!ferminosReferen</w:t>
      </w:r>
      <w:r w:rsidR="00386548" w:rsidRPr="00181E8F">
        <w:rPr>
          <w:rFonts w:ascii="Tahoma" w:hAnsi="Tahoma" w:cs="Tahoma"/>
          <w:sz w:val="20"/>
        </w:rPr>
        <w:t xml:space="preserve">cia2011. </w:t>
      </w:r>
    </w:p>
    <w:p w14:paraId="02964997" w14:textId="6F57E1CD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Dirección General de Planificación y Evaluación de Políticas para el Desarrollo.  (2007). Gobierno de España. Ministerio de Asuntos Exteriores y Cooperación. Obtenido de http://www.maec.es LFPRH. (11 de agosto de 2014). Cámara de Diputados. H. Congreso de la Unión.  Recuperado el</w:t>
      </w:r>
      <w:r w:rsidR="00386548" w:rsidRPr="00181E8F">
        <w:rPr>
          <w:rFonts w:ascii="Tahoma" w:hAnsi="Tahoma" w:cs="Tahoma"/>
          <w:sz w:val="20"/>
        </w:rPr>
        <w:t xml:space="preserve"> </w:t>
      </w:r>
      <w:r w:rsidRPr="00181E8F">
        <w:rPr>
          <w:rFonts w:ascii="Tahoma" w:hAnsi="Tahoma" w:cs="Tahoma"/>
          <w:sz w:val="20"/>
        </w:rPr>
        <w:t xml:space="preserve">24 de julio de 2015, de LXII  Legislatura: </w:t>
      </w:r>
      <w:hyperlink r:id="rId10" w:history="1">
        <w:r w:rsidR="00DE0A08" w:rsidRPr="00181E8F">
          <w:rPr>
            <w:rStyle w:val="Hipervnculo"/>
            <w:rFonts w:ascii="Tahoma" w:hAnsi="Tahoma" w:cs="Tahoma"/>
            <w:sz w:val="20"/>
          </w:rPr>
          <w:t>http://www.diputados.gob.mx/LeyesBiblio/ref/lfprh.htm</w:t>
        </w:r>
      </w:hyperlink>
    </w:p>
    <w:p w14:paraId="5A91E2D9" w14:textId="074BC86D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LGCG. (09 de diciembre de 2015). Última Reforma publicada en el DOF el 09 de diciembre de 2013.</w:t>
      </w:r>
    </w:p>
    <w:p w14:paraId="29B87321" w14:textId="45260B67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 xml:space="preserve">Recuperado el </w:t>
      </w:r>
      <w:r w:rsidR="00DE0A08" w:rsidRPr="00181E8F">
        <w:rPr>
          <w:rFonts w:ascii="Tahoma" w:hAnsi="Tahoma" w:cs="Tahoma"/>
          <w:sz w:val="20"/>
        </w:rPr>
        <w:t>23 de julio de 2015, de Cámara d</w:t>
      </w:r>
      <w:r w:rsidRPr="00181E8F">
        <w:rPr>
          <w:rFonts w:ascii="Tahoma" w:hAnsi="Tahoma" w:cs="Tahoma"/>
          <w:sz w:val="20"/>
        </w:rPr>
        <w:t xml:space="preserve">e Diputados del H. Congreso de la Unión. LXII Legislatura: </w:t>
      </w:r>
      <w:hyperlink r:id="rId11" w:history="1">
        <w:r w:rsidR="00DE0A08" w:rsidRPr="00181E8F">
          <w:rPr>
            <w:rStyle w:val="Hipervnculo"/>
            <w:rFonts w:ascii="Tahoma" w:hAnsi="Tahoma" w:cs="Tahoma"/>
            <w:sz w:val="20"/>
          </w:rPr>
          <w:t>http://www.diputados.gob.mx/LeyesBiblio/ref/lgcg.htm</w:t>
        </w:r>
      </w:hyperlink>
    </w:p>
    <w:p w14:paraId="502E244F" w14:textId="323F0411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Lineamientos Generales para la Evaluación de los Programas Federales de la Administración</w:t>
      </w:r>
      <w:r w:rsidR="00406CE9" w:rsidRPr="00181E8F">
        <w:rPr>
          <w:rFonts w:ascii="Tahoma" w:hAnsi="Tahoma" w:cs="Tahoma"/>
          <w:sz w:val="20"/>
        </w:rPr>
        <w:t xml:space="preserve"> </w:t>
      </w:r>
      <w:r w:rsidRPr="00181E8F">
        <w:rPr>
          <w:rFonts w:ascii="Tahoma" w:hAnsi="Tahoma" w:cs="Tahoma"/>
          <w:sz w:val="20"/>
        </w:rPr>
        <w:t>Pública Federal. (30 de marzo de 2007).</w:t>
      </w:r>
    </w:p>
    <w:p w14:paraId="1533C464" w14:textId="3FA59BA8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Obtenido de http://www.coneval.gob.mx/rw/resource/coneval/eval_mon/361.pdf Organización para la Cooperación y el Desarrollo Económico. OCDE. (2010). Estándares de calidad para la Evaluación del Desarrollo.  Comité de Ayuda al Desarrollo.  CAD.  España: OCDE.  Recuperado el 24 de julio de 2015.</w:t>
      </w:r>
    </w:p>
    <w:p w14:paraId="7CAC7A7E" w14:textId="751217DB" w:rsidR="00F13C8B" w:rsidRPr="00181E8F" w:rsidRDefault="00F13C8B" w:rsidP="00275F22">
      <w:pPr>
        <w:spacing w:before="240" w:after="0"/>
        <w:jc w:val="both"/>
        <w:rPr>
          <w:rFonts w:ascii="Tahoma" w:hAnsi="Tahoma" w:cs="Tahoma"/>
          <w:sz w:val="20"/>
        </w:rPr>
      </w:pPr>
      <w:r w:rsidRPr="00181E8F">
        <w:rPr>
          <w:rFonts w:ascii="Tahoma" w:hAnsi="Tahoma" w:cs="Tahoma"/>
          <w:sz w:val="20"/>
        </w:rPr>
        <w:t>Secretaría de Hacienda y Crédito Público. SHCP. (24 de julio de 2015). Obtenido dehttp://www.shcp.gob.mx/EGR</w:t>
      </w:r>
      <w:r w:rsidR="00DE0A08" w:rsidRPr="00181E8F">
        <w:rPr>
          <w:rFonts w:ascii="Tahoma" w:hAnsi="Tahoma" w:cs="Tahoma"/>
          <w:sz w:val="20"/>
        </w:rPr>
        <w:t>ESO</w:t>
      </w:r>
      <w:r w:rsidRPr="00181E8F">
        <w:rPr>
          <w:rFonts w:ascii="Tahoma" w:hAnsi="Tahoma" w:cs="Tahoma"/>
          <w:sz w:val="20"/>
        </w:rPr>
        <w:t>S/sitio_pbr/evaluacion/Paginas/model</w:t>
      </w:r>
      <w:r w:rsidR="00DE0A08" w:rsidRPr="00181E8F">
        <w:rPr>
          <w:rFonts w:ascii="Tahoma" w:hAnsi="Tahoma" w:cs="Tahoma"/>
          <w:sz w:val="20"/>
        </w:rPr>
        <w:t>os_terminos.aspx Última Reforma</w:t>
      </w:r>
      <w:r w:rsidRPr="00181E8F">
        <w:rPr>
          <w:rFonts w:ascii="Tahoma" w:hAnsi="Tahoma" w:cs="Tahoma"/>
          <w:sz w:val="20"/>
        </w:rPr>
        <w:t xml:space="preserve"> 10 de julio 2015.</w:t>
      </w:r>
      <w:r w:rsidR="00DE0A08" w:rsidRPr="00181E8F">
        <w:rPr>
          <w:rFonts w:ascii="Tahoma" w:hAnsi="Tahoma" w:cs="Tahoma"/>
          <w:sz w:val="20"/>
        </w:rPr>
        <w:t xml:space="preserve"> (10 de julio de 2015). Cámara </w:t>
      </w:r>
      <w:r w:rsidRPr="00181E8F">
        <w:rPr>
          <w:rFonts w:ascii="Tahoma" w:hAnsi="Tahoma" w:cs="Tahoma"/>
          <w:sz w:val="20"/>
        </w:rPr>
        <w:t xml:space="preserve">de Diputados. H. Congreso de la Unión. Recuperado el 24 de julio de 2015, de LXII Legislatura: </w:t>
      </w:r>
      <w:hyperlink r:id="rId12" w:history="1">
        <w:r w:rsidR="00DE0A08" w:rsidRPr="00181E8F">
          <w:rPr>
            <w:rStyle w:val="Hipervnculo"/>
            <w:rFonts w:ascii="Tahoma" w:hAnsi="Tahoma" w:cs="Tahoma"/>
            <w:sz w:val="20"/>
          </w:rPr>
          <w:t>http://www.diputados.gob.mx/LeyesBiblio/ref/cpeum.htm</w:t>
        </w:r>
      </w:hyperlink>
    </w:p>
    <w:p w14:paraId="13151E27" w14:textId="4E6DD726" w:rsidR="002403E0" w:rsidRPr="00181E8F" w:rsidRDefault="002403E0" w:rsidP="00275F22">
      <w:pPr>
        <w:rPr>
          <w:rFonts w:ascii="Tahoma" w:hAnsi="Tahoma" w:cs="Tahoma"/>
          <w:sz w:val="20"/>
        </w:rPr>
      </w:pPr>
    </w:p>
    <w:sectPr w:rsidR="002403E0" w:rsidRPr="00181E8F" w:rsidSect="00621604">
      <w:headerReference w:type="default" r:id="rId13"/>
      <w:pgSz w:w="12240" w:h="15840"/>
      <w:pgMar w:top="269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31492E" w14:textId="77777777" w:rsidR="00621604" w:rsidRDefault="00621604" w:rsidP="00140358">
      <w:pPr>
        <w:spacing w:after="0" w:line="240" w:lineRule="auto"/>
      </w:pPr>
      <w:r>
        <w:separator/>
      </w:r>
    </w:p>
  </w:endnote>
  <w:endnote w:type="continuationSeparator" w:id="0">
    <w:p w14:paraId="4822978C" w14:textId="77777777" w:rsidR="00621604" w:rsidRDefault="00621604" w:rsidP="00140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BAA504" w14:textId="77777777" w:rsidR="00621604" w:rsidRDefault="00621604" w:rsidP="00140358">
      <w:pPr>
        <w:spacing w:after="0" w:line="240" w:lineRule="auto"/>
      </w:pPr>
      <w:r>
        <w:separator/>
      </w:r>
    </w:p>
  </w:footnote>
  <w:footnote w:type="continuationSeparator" w:id="0">
    <w:p w14:paraId="712F8E7B" w14:textId="77777777" w:rsidR="00621604" w:rsidRDefault="00621604" w:rsidP="00140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02520" w14:textId="3BAFE9FE" w:rsidR="00140358" w:rsidRDefault="003A2200">
    <w:pPr>
      <w:pStyle w:val="Encabezado"/>
    </w:pPr>
    <w:r>
      <w:rPr>
        <w:noProof/>
      </w:rPr>
      <w:drawing>
        <wp:anchor distT="0" distB="0" distL="114300" distR="114300" simplePos="0" relativeHeight="251661311" behindDoc="0" locked="0" layoutInCell="1" allowOverlap="1" wp14:anchorId="38072EB0" wp14:editId="3AEBBAD1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768424" cy="10048395"/>
          <wp:effectExtent l="0" t="0" r="4445" b="0"/>
          <wp:wrapNone/>
          <wp:docPr id="2075568792" name="Imagen 20755687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8424" cy="10048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2134134766"/>
        <w:docPartObj>
          <w:docPartGallery w:val="Page Numbers (Margins)"/>
          <w:docPartUnique/>
        </w:docPartObj>
      </w:sdtPr>
      <w:sdtContent>
        <w:r w:rsidR="00FF5F43"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64384" behindDoc="0" locked="0" layoutInCell="0" allowOverlap="1" wp14:anchorId="2D1F2934" wp14:editId="17A7994C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1F7C774D" w14:textId="0EC8580D" w:rsidR="00FF5F43" w:rsidRPr="00FF5F43" w:rsidRDefault="00FF5F43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4"/>
                                      <w:szCs w:val="72"/>
                                    </w:rPr>
                                  </w:pPr>
                                  <w:r w:rsidRPr="00FF5F43">
                                    <w:rPr>
                                      <w:rFonts w:asciiTheme="minorHAnsi" w:eastAsiaTheme="minorEastAsia" w:hAnsiTheme="minorHAnsi"/>
                                      <w:sz w:val="14"/>
                                    </w:rPr>
                                    <w:fldChar w:fldCharType="begin"/>
                                  </w:r>
                                  <w:r w:rsidRPr="00FF5F43">
                                    <w:rPr>
                                      <w:sz w:val="14"/>
                                    </w:rPr>
                                    <w:instrText>PAGE  \* MERGEFORMAT</w:instrText>
                                  </w:r>
                                  <w:r w:rsidRPr="00FF5F43">
                                    <w:rPr>
                                      <w:rFonts w:asciiTheme="minorHAnsi" w:eastAsiaTheme="minorEastAsia" w:hAnsiTheme="minorHAnsi"/>
                                      <w:sz w:val="14"/>
                                    </w:rPr>
                                    <w:fldChar w:fldCharType="separate"/>
                                  </w:r>
                                  <w:r w:rsidR="007B5F9D" w:rsidRPr="007B5F9D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32"/>
                                      <w:szCs w:val="48"/>
                                      <w:lang w:val="es-ES"/>
                                    </w:rPr>
                                    <w:t>3</w:t>
                                  </w:r>
                                  <w:r w:rsidRPr="00FF5F43">
                                    <w:rPr>
                                      <w:rFonts w:asciiTheme="majorHAnsi" w:eastAsiaTheme="majorEastAsia" w:hAnsiTheme="majorHAnsi" w:cstheme="majorBidi"/>
                                      <w:sz w:val="32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2D1F2934" id="Rectángulo 1" o:spid="_x0000_s1026" style="position:absolute;margin-left:0;margin-top:0;width:60pt;height:70.5pt;z-index:25166438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2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1F7C774D" w14:textId="0EC8580D" w:rsidR="00FF5F43" w:rsidRPr="00FF5F43" w:rsidRDefault="00FF5F43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4"/>
                                <w:szCs w:val="72"/>
                              </w:rPr>
                            </w:pPr>
                            <w:r w:rsidRPr="00FF5F43">
                              <w:rPr>
                                <w:rFonts w:asciiTheme="minorHAnsi" w:eastAsiaTheme="minorEastAsia" w:hAnsiTheme="minorHAnsi"/>
                                <w:sz w:val="14"/>
                              </w:rPr>
                              <w:fldChar w:fldCharType="begin"/>
                            </w:r>
                            <w:r w:rsidRPr="00FF5F43">
                              <w:rPr>
                                <w:sz w:val="14"/>
                              </w:rPr>
                              <w:instrText>PAGE  \* MERGEFORMAT</w:instrText>
                            </w:r>
                            <w:r w:rsidRPr="00FF5F43">
                              <w:rPr>
                                <w:rFonts w:asciiTheme="minorHAnsi" w:eastAsiaTheme="minorEastAsia" w:hAnsiTheme="minorHAnsi"/>
                                <w:sz w:val="14"/>
                              </w:rPr>
                              <w:fldChar w:fldCharType="separate"/>
                            </w:r>
                            <w:r w:rsidR="007B5F9D" w:rsidRPr="007B5F9D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32"/>
                                <w:szCs w:val="48"/>
                                <w:lang w:val="es-ES"/>
                              </w:rPr>
                              <w:t>3</w:t>
                            </w:r>
                            <w:r w:rsidRPr="00FF5F43">
                              <w:rPr>
                                <w:rFonts w:asciiTheme="majorHAnsi" w:eastAsiaTheme="majorEastAsia" w:hAnsiTheme="majorHAnsi" w:cstheme="majorBidi"/>
                                <w:sz w:val="32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7064A6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181EE5D" wp14:editId="21A43F67">
              <wp:simplePos x="0" y="0"/>
              <wp:positionH relativeFrom="margin">
                <wp:posOffset>262890</wp:posOffset>
              </wp:positionH>
              <wp:positionV relativeFrom="paragraph">
                <wp:posOffset>808165</wp:posOffset>
              </wp:positionV>
              <wp:extent cx="5083917" cy="285750"/>
              <wp:effectExtent l="0" t="0" r="254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917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A35994" w14:textId="7C504F69" w:rsidR="00140358" w:rsidRPr="00406CE9" w:rsidRDefault="00140358" w:rsidP="004D3A25">
                          <w:pPr>
                            <w:jc w:val="center"/>
                            <w:rPr>
                              <w:rFonts w:ascii="Arial Rounded MT Bold" w:hAnsi="Arial Rounded MT Bold" w:cstheme="minorHAnsi"/>
                            </w:rPr>
                          </w:pPr>
                          <w:r w:rsidRPr="00406CE9">
                            <w:rPr>
                              <w:rFonts w:ascii="Arial Rounded MT Bold" w:hAnsi="Arial Rounded MT Bold" w:cstheme="minorHAnsi"/>
                            </w:rPr>
                            <w:t xml:space="preserve">DIRECCIÓN </w:t>
                          </w:r>
                          <w:r w:rsidR="004D3A25" w:rsidRPr="00406CE9">
                            <w:rPr>
                              <w:rFonts w:ascii="Arial Rounded MT Bold" w:hAnsi="Arial Rounded MT Bold" w:cstheme="minorHAnsi"/>
                            </w:rPr>
                            <w:t xml:space="preserve">GENERAL </w:t>
                          </w:r>
                          <w:r w:rsidRPr="00406CE9">
                            <w:rPr>
                              <w:rFonts w:ascii="Arial Rounded MT Bold" w:hAnsi="Arial Rounded MT Bold" w:cstheme="minorHAnsi"/>
                            </w:rPr>
                            <w:t xml:space="preserve">DE PLANEACIÓN </w:t>
                          </w:r>
                          <w:r w:rsidR="004D3A25" w:rsidRPr="00406CE9">
                            <w:rPr>
                              <w:rFonts w:ascii="Arial Rounded MT Bold" w:hAnsi="Arial Rounded MT Bold" w:cstheme="minorHAnsi"/>
                            </w:rPr>
                            <w:t>E INNOVACIÓN MUNICIPAL</w:t>
                          </w:r>
                        </w:p>
                        <w:p w14:paraId="1FDFCB71" w14:textId="77777777" w:rsidR="00406CE9" w:rsidRDefault="00406CE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81EE5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20.7pt;margin-top:63.65pt;width:400.3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" stroked="f">
              <v:textbox>
                <w:txbxContent>
                  <w:p w14:paraId="4CA35994" w14:textId="7C504F69" w:rsidR="00140358" w:rsidRPr="00406CE9" w:rsidRDefault="00140358" w:rsidP="004D3A25">
                    <w:pPr>
                      <w:jc w:val="center"/>
                      <w:rPr>
                        <w:rFonts w:ascii="Arial Rounded MT Bold" w:hAnsi="Arial Rounded MT Bold" w:cstheme="minorHAnsi"/>
                      </w:rPr>
                    </w:pPr>
                    <w:r w:rsidRPr="00406CE9">
                      <w:rPr>
                        <w:rFonts w:ascii="Arial Rounded MT Bold" w:hAnsi="Arial Rounded MT Bold" w:cstheme="minorHAnsi"/>
                      </w:rPr>
                      <w:t xml:space="preserve">DIRECCIÓN </w:t>
                    </w:r>
                    <w:r w:rsidR="004D3A25" w:rsidRPr="00406CE9">
                      <w:rPr>
                        <w:rFonts w:ascii="Arial Rounded MT Bold" w:hAnsi="Arial Rounded MT Bold" w:cstheme="minorHAnsi"/>
                      </w:rPr>
                      <w:t xml:space="preserve">GENERAL </w:t>
                    </w:r>
                    <w:r w:rsidRPr="00406CE9">
                      <w:rPr>
                        <w:rFonts w:ascii="Arial Rounded MT Bold" w:hAnsi="Arial Rounded MT Bold" w:cstheme="minorHAnsi"/>
                      </w:rPr>
                      <w:t xml:space="preserve">DE PLANEACIÓN </w:t>
                    </w:r>
                    <w:r w:rsidR="004D3A25" w:rsidRPr="00406CE9">
                      <w:rPr>
                        <w:rFonts w:ascii="Arial Rounded MT Bold" w:hAnsi="Arial Rounded MT Bold" w:cstheme="minorHAnsi"/>
                      </w:rPr>
                      <w:t>E INNOVACIÓN MUNICIPAL</w:t>
                    </w:r>
                  </w:p>
                  <w:p w14:paraId="1FDFCB71" w14:textId="77777777" w:rsidR="00406CE9" w:rsidRDefault="00406CE9"/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26BD0B" w14:textId="77777777" w:rsidR="00317D9E" w:rsidRDefault="00317D9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0528" behindDoc="0" locked="0" layoutInCell="1" allowOverlap="1" wp14:anchorId="272F4276" wp14:editId="26339F16">
          <wp:simplePos x="0" y="0"/>
          <wp:positionH relativeFrom="page">
            <wp:posOffset>1156335</wp:posOffset>
          </wp:positionH>
          <wp:positionV relativeFrom="paragraph">
            <wp:posOffset>-394335</wp:posOffset>
          </wp:positionV>
          <wp:extent cx="7769851" cy="10054738"/>
          <wp:effectExtent l="0" t="0" r="3175" b="381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51" cy="10054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698126062"/>
        <w:docPartObj>
          <w:docPartGallery w:val="Page Numbers (Margins)"/>
          <w:docPartUnique/>
        </w:docPartObj>
      </w:sdtPr>
      <w:sdtContent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69504" behindDoc="0" locked="0" layoutInCell="0" allowOverlap="1" wp14:anchorId="62BD1181" wp14:editId="0A555D2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0" name="Rectángulo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48"/>
                                </w:rPr>
                                <w:id w:val="-230923783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6C445E56" w14:textId="56B59BAD" w:rsidR="00317D9E" w:rsidRPr="00FF5F43" w:rsidRDefault="00317D9E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4"/>
                                      <w:szCs w:val="72"/>
                                    </w:rPr>
                                  </w:pPr>
                                  <w:r w:rsidRPr="00FF5F43">
                                    <w:rPr>
                                      <w:rFonts w:asciiTheme="minorHAnsi" w:eastAsiaTheme="minorEastAsia" w:hAnsiTheme="minorHAnsi"/>
                                      <w:sz w:val="14"/>
                                    </w:rPr>
                                    <w:fldChar w:fldCharType="begin"/>
                                  </w:r>
                                  <w:r w:rsidRPr="00FF5F43">
                                    <w:rPr>
                                      <w:sz w:val="14"/>
                                    </w:rPr>
                                    <w:instrText>PAGE  \* MERGEFORMAT</w:instrText>
                                  </w:r>
                                  <w:r w:rsidRPr="00FF5F43">
                                    <w:rPr>
                                      <w:rFonts w:asciiTheme="minorHAnsi" w:eastAsiaTheme="minorEastAsia" w:hAnsiTheme="minorHAnsi"/>
                                      <w:sz w:val="14"/>
                                    </w:rPr>
                                    <w:fldChar w:fldCharType="separate"/>
                                  </w:r>
                                  <w:r w:rsidR="007B5F9D" w:rsidRPr="007B5F9D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32"/>
                                      <w:szCs w:val="48"/>
                                      <w:lang w:val="es-ES"/>
                                    </w:rPr>
                                    <w:t>4</w:t>
                                  </w:r>
                                  <w:r w:rsidRPr="00FF5F43">
                                    <w:rPr>
                                      <w:rFonts w:asciiTheme="majorHAnsi" w:eastAsiaTheme="majorEastAsia" w:hAnsiTheme="majorHAnsi" w:cstheme="majorBidi"/>
                                      <w:sz w:val="32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2BD1181" id="Rectángulo 10" o:spid="_x0000_s1028" style="position:absolute;margin-left:0;margin-top:0;width:60pt;height:70.5pt;z-index:25166950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2"/>
                            <w:szCs w:val="48"/>
                          </w:rPr>
                          <w:id w:val="-230923783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6C445E56" w14:textId="56B59BAD" w:rsidR="00317D9E" w:rsidRPr="00FF5F43" w:rsidRDefault="00317D9E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4"/>
                                <w:szCs w:val="72"/>
                              </w:rPr>
                            </w:pPr>
                            <w:r w:rsidRPr="00FF5F43">
                              <w:rPr>
                                <w:rFonts w:asciiTheme="minorHAnsi" w:eastAsiaTheme="minorEastAsia" w:hAnsiTheme="minorHAnsi"/>
                                <w:sz w:val="14"/>
                              </w:rPr>
                              <w:fldChar w:fldCharType="begin"/>
                            </w:r>
                            <w:r w:rsidRPr="00FF5F43">
                              <w:rPr>
                                <w:sz w:val="14"/>
                              </w:rPr>
                              <w:instrText>PAGE  \* MERGEFORMAT</w:instrText>
                            </w:r>
                            <w:r w:rsidRPr="00FF5F43">
                              <w:rPr>
                                <w:rFonts w:asciiTheme="minorHAnsi" w:eastAsiaTheme="minorEastAsia" w:hAnsiTheme="minorHAnsi"/>
                                <w:sz w:val="14"/>
                              </w:rPr>
                              <w:fldChar w:fldCharType="separate"/>
                            </w:r>
                            <w:r w:rsidR="007B5F9D" w:rsidRPr="007B5F9D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32"/>
                                <w:szCs w:val="48"/>
                                <w:lang w:val="es-ES"/>
                              </w:rPr>
                              <w:t>4</w:t>
                            </w:r>
                            <w:r w:rsidRPr="00FF5F43">
                              <w:rPr>
                                <w:rFonts w:asciiTheme="majorHAnsi" w:eastAsiaTheme="majorEastAsia" w:hAnsiTheme="majorHAnsi" w:cstheme="majorBidi"/>
                                <w:sz w:val="32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7E2779C" wp14:editId="16134D21">
              <wp:simplePos x="0" y="0"/>
              <wp:positionH relativeFrom="margin">
                <wp:posOffset>262890</wp:posOffset>
              </wp:positionH>
              <wp:positionV relativeFrom="paragraph">
                <wp:posOffset>808165</wp:posOffset>
              </wp:positionV>
              <wp:extent cx="5083917" cy="285750"/>
              <wp:effectExtent l="0" t="0" r="254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917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E40ADF" w14:textId="77777777" w:rsidR="00317D9E" w:rsidRPr="00406CE9" w:rsidRDefault="00317D9E" w:rsidP="004D3A25">
                          <w:pPr>
                            <w:jc w:val="center"/>
                            <w:rPr>
                              <w:rFonts w:ascii="Arial Rounded MT Bold" w:hAnsi="Arial Rounded MT Bold" w:cstheme="minorHAnsi"/>
                            </w:rPr>
                          </w:pPr>
                          <w:r w:rsidRPr="00406CE9">
                            <w:rPr>
                              <w:rFonts w:ascii="Arial Rounded MT Bold" w:hAnsi="Arial Rounded MT Bold" w:cstheme="minorHAnsi"/>
                            </w:rPr>
                            <w:t>DIRECCIÓN GENERAL DE PLANEACIÓN E INNOVACIÓN MUNICIPAL</w:t>
                          </w:r>
                        </w:p>
                        <w:p w14:paraId="6881C9C7" w14:textId="77777777" w:rsidR="00317D9E" w:rsidRDefault="00317D9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E2779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0.7pt;margin-top:63.65pt;width:400.3pt;height:22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" stroked="f">
              <v:textbox>
                <w:txbxContent>
                  <w:p w14:paraId="15E40ADF" w14:textId="77777777" w:rsidR="00317D9E" w:rsidRPr="00406CE9" w:rsidRDefault="00317D9E" w:rsidP="004D3A25">
                    <w:pPr>
                      <w:jc w:val="center"/>
                      <w:rPr>
                        <w:rFonts w:ascii="Arial Rounded MT Bold" w:hAnsi="Arial Rounded MT Bold" w:cstheme="minorHAnsi"/>
                      </w:rPr>
                    </w:pPr>
                    <w:r w:rsidRPr="00406CE9">
                      <w:rPr>
                        <w:rFonts w:ascii="Arial Rounded MT Bold" w:hAnsi="Arial Rounded MT Bold" w:cstheme="minorHAnsi"/>
                      </w:rPr>
                      <w:t>DIRECCIÓN GENERAL DE PLANEACIÓN E INNOVACIÓN MUNICIPAL</w:t>
                    </w:r>
                  </w:p>
                  <w:p w14:paraId="6881C9C7" w14:textId="77777777" w:rsidR="00317D9E" w:rsidRDefault="00317D9E"/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1097E4" w14:textId="77777777" w:rsidR="00726674" w:rsidRDefault="0072667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74624" behindDoc="0" locked="0" layoutInCell="1" allowOverlap="1" wp14:anchorId="7F9FCD88" wp14:editId="4BFEA8EB">
          <wp:simplePos x="0" y="0"/>
          <wp:positionH relativeFrom="page">
            <wp:posOffset>33324</wp:posOffset>
          </wp:positionH>
          <wp:positionV relativeFrom="paragraph">
            <wp:posOffset>-401955</wp:posOffset>
          </wp:positionV>
          <wp:extent cx="7769851" cy="10054738"/>
          <wp:effectExtent l="0" t="0" r="3175" b="381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51" cy="100547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406830272"/>
        <w:docPartObj>
          <w:docPartGallery w:val="Page Numbers (Margins)"/>
          <w:docPartUnique/>
        </w:docPartObj>
      </w:sdtPr>
      <w:sdtContent>
        <w:r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73600" behindDoc="0" locked="0" layoutInCell="0" allowOverlap="1" wp14:anchorId="0B814F99" wp14:editId="7AD760DE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5" name="Rectángulo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32"/>
                                  <w:szCs w:val="48"/>
                                </w:rPr>
                                <w:id w:val="-432825981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p w14:paraId="4F9CEC78" w14:textId="11A90A2D" w:rsidR="00726674" w:rsidRPr="00FF5F43" w:rsidRDefault="00726674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44"/>
                                      <w:szCs w:val="72"/>
                                    </w:rPr>
                                  </w:pPr>
                                  <w:r w:rsidRPr="00FF5F43">
                                    <w:rPr>
                                      <w:rFonts w:asciiTheme="minorHAnsi" w:eastAsiaTheme="minorEastAsia" w:hAnsiTheme="minorHAnsi"/>
                                      <w:sz w:val="14"/>
                                    </w:rPr>
                                    <w:fldChar w:fldCharType="begin"/>
                                  </w:r>
                                  <w:r w:rsidRPr="00FF5F43">
                                    <w:rPr>
                                      <w:sz w:val="14"/>
                                    </w:rPr>
                                    <w:instrText>PAGE  \* MERGEFORMAT</w:instrText>
                                  </w:r>
                                  <w:r w:rsidRPr="00FF5F43">
                                    <w:rPr>
                                      <w:rFonts w:asciiTheme="minorHAnsi" w:eastAsiaTheme="minorEastAsia" w:hAnsiTheme="minorHAnsi"/>
                                      <w:sz w:val="14"/>
                                    </w:rPr>
                                    <w:fldChar w:fldCharType="separate"/>
                                  </w:r>
                                  <w:r w:rsidR="007B5F9D" w:rsidRPr="007B5F9D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32"/>
                                      <w:szCs w:val="48"/>
                                      <w:lang w:val="es-ES"/>
                                    </w:rPr>
                                    <w:t>9</w:t>
                                  </w:r>
                                  <w:r w:rsidRPr="00FF5F43">
                                    <w:rPr>
                                      <w:rFonts w:asciiTheme="majorHAnsi" w:eastAsiaTheme="majorEastAsia" w:hAnsiTheme="majorHAnsi" w:cstheme="majorBidi"/>
                                      <w:sz w:val="32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B814F99" id="Rectángulo 15" o:spid="_x0000_s1030" style="position:absolute;margin-left:0;margin-top:0;width:60pt;height:70.5pt;z-index:2516736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32"/>
                            <w:szCs w:val="48"/>
                          </w:rPr>
                          <w:id w:val="-432825981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4F9CEC78" w14:textId="11A90A2D" w:rsidR="00726674" w:rsidRPr="00FF5F43" w:rsidRDefault="0072667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4"/>
                                <w:szCs w:val="72"/>
                              </w:rPr>
                            </w:pPr>
                            <w:r w:rsidRPr="00FF5F43">
                              <w:rPr>
                                <w:rFonts w:asciiTheme="minorHAnsi" w:eastAsiaTheme="minorEastAsia" w:hAnsiTheme="minorHAnsi"/>
                                <w:sz w:val="14"/>
                              </w:rPr>
                              <w:fldChar w:fldCharType="begin"/>
                            </w:r>
                            <w:r w:rsidRPr="00FF5F43">
                              <w:rPr>
                                <w:sz w:val="14"/>
                              </w:rPr>
                              <w:instrText>PAGE  \* MERGEFORMAT</w:instrText>
                            </w:r>
                            <w:r w:rsidRPr="00FF5F43">
                              <w:rPr>
                                <w:rFonts w:asciiTheme="minorHAnsi" w:eastAsiaTheme="minorEastAsia" w:hAnsiTheme="minorHAnsi"/>
                                <w:sz w:val="14"/>
                              </w:rPr>
                              <w:fldChar w:fldCharType="separate"/>
                            </w:r>
                            <w:r w:rsidR="007B5F9D" w:rsidRPr="007B5F9D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32"/>
                                <w:szCs w:val="48"/>
                                <w:lang w:val="es-ES"/>
                              </w:rPr>
                              <w:t>9</w:t>
                            </w:r>
                            <w:r w:rsidRPr="00FF5F43">
                              <w:rPr>
                                <w:rFonts w:asciiTheme="majorHAnsi" w:eastAsiaTheme="majorEastAsia" w:hAnsiTheme="majorHAnsi" w:cstheme="majorBidi"/>
                                <w:sz w:val="32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33AC1F02" wp14:editId="6D2E5B07">
              <wp:simplePos x="0" y="0"/>
              <wp:positionH relativeFrom="margin">
                <wp:posOffset>262890</wp:posOffset>
              </wp:positionH>
              <wp:positionV relativeFrom="paragraph">
                <wp:posOffset>808165</wp:posOffset>
              </wp:positionV>
              <wp:extent cx="5083917" cy="285750"/>
              <wp:effectExtent l="0" t="0" r="254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3917" cy="285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489F7F" w14:textId="77777777" w:rsidR="00726674" w:rsidRPr="00406CE9" w:rsidRDefault="00726674" w:rsidP="004D3A25">
                          <w:pPr>
                            <w:jc w:val="center"/>
                            <w:rPr>
                              <w:rFonts w:ascii="Arial Rounded MT Bold" w:hAnsi="Arial Rounded MT Bold" w:cstheme="minorHAnsi"/>
                            </w:rPr>
                          </w:pPr>
                          <w:r w:rsidRPr="00406CE9">
                            <w:rPr>
                              <w:rFonts w:ascii="Arial Rounded MT Bold" w:hAnsi="Arial Rounded MT Bold" w:cstheme="minorHAnsi"/>
                            </w:rPr>
                            <w:t>DIRECCIÓN GENERAL DE PLANEACIÓN E INNOVACIÓN MUNICIPAL</w:t>
                          </w:r>
                        </w:p>
                        <w:p w14:paraId="091BD1B6" w14:textId="77777777" w:rsidR="00726674" w:rsidRDefault="0072667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AC1F0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20.7pt;margin-top:63.65pt;width:400.3pt;height:22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" stroked="f">
              <v:textbox>
                <w:txbxContent>
                  <w:p w14:paraId="7C489F7F" w14:textId="77777777" w:rsidR="00726674" w:rsidRPr="00406CE9" w:rsidRDefault="00726674" w:rsidP="004D3A25">
                    <w:pPr>
                      <w:jc w:val="center"/>
                      <w:rPr>
                        <w:rFonts w:ascii="Arial Rounded MT Bold" w:hAnsi="Arial Rounded MT Bold" w:cstheme="minorHAnsi"/>
                      </w:rPr>
                    </w:pPr>
                    <w:r w:rsidRPr="00406CE9">
                      <w:rPr>
                        <w:rFonts w:ascii="Arial Rounded MT Bold" w:hAnsi="Arial Rounded MT Bold" w:cstheme="minorHAnsi"/>
                      </w:rPr>
                      <w:t>DIRECCIÓN GENERAL DE PLANEACIÓN E INNOVACIÓN MUNICIPAL</w:t>
                    </w:r>
                  </w:p>
                  <w:p w14:paraId="091BD1B6" w14:textId="77777777" w:rsidR="00726674" w:rsidRDefault="00726674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F36ECE"/>
    <w:multiLevelType w:val="hybridMultilevel"/>
    <w:tmpl w:val="66F8A8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DB0C63"/>
    <w:multiLevelType w:val="hybridMultilevel"/>
    <w:tmpl w:val="518A7DE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3F20B6"/>
    <w:multiLevelType w:val="hybridMultilevel"/>
    <w:tmpl w:val="2D4C3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521B67"/>
    <w:multiLevelType w:val="hybridMultilevel"/>
    <w:tmpl w:val="85B4D2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627DC"/>
    <w:multiLevelType w:val="hybridMultilevel"/>
    <w:tmpl w:val="3802094C"/>
    <w:lvl w:ilvl="0" w:tplc="70CA79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1A71226"/>
    <w:multiLevelType w:val="hybridMultilevel"/>
    <w:tmpl w:val="D8A84F70"/>
    <w:lvl w:ilvl="0" w:tplc="36025DA4"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790C1E"/>
    <w:multiLevelType w:val="hybridMultilevel"/>
    <w:tmpl w:val="BF304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A76E10"/>
    <w:multiLevelType w:val="hybridMultilevel"/>
    <w:tmpl w:val="9B98B5F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FC6D2C"/>
    <w:multiLevelType w:val="hybridMultilevel"/>
    <w:tmpl w:val="DE6C5D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30603A"/>
    <w:multiLevelType w:val="hybridMultilevel"/>
    <w:tmpl w:val="466E37F8"/>
    <w:lvl w:ilvl="0" w:tplc="9FECD2D2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1E6AF4"/>
    <w:multiLevelType w:val="hybridMultilevel"/>
    <w:tmpl w:val="7874797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EC73F0"/>
    <w:multiLevelType w:val="hybridMultilevel"/>
    <w:tmpl w:val="1E1C7F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030E3C"/>
    <w:multiLevelType w:val="hybridMultilevel"/>
    <w:tmpl w:val="AAD075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205082"/>
    <w:multiLevelType w:val="hybridMultilevel"/>
    <w:tmpl w:val="8974BC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0264984">
    <w:abstractNumId w:val="9"/>
  </w:num>
  <w:num w:numId="2" w16cid:durableId="2100368160">
    <w:abstractNumId w:val="4"/>
  </w:num>
  <w:num w:numId="3" w16cid:durableId="1406537801">
    <w:abstractNumId w:val="7"/>
  </w:num>
  <w:num w:numId="4" w16cid:durableId="1974018089">
    <w:abstractNumId w:val="0"/>
  </w:num>
  <w:num w:numId="5" w16cid:durableId="1075855582">
    <w:abstractNumId w:val="3"/>
  </w:num>
  <w:num w:numId="6" w16cid:durableId="759250966">
    <w:abstractNumId w:val="11"/>
  </w:num>
  <w:num w:numId="7" w16cid:durableId="817379737">
    <w:abstractNumId w:val="10"/>
  </w:num>
  <w:num w:numId="8" w16cid:durableId="1182820194">
    <w:abstractNumId w:val="8"/>
  </w:num>
  <w:num w:numId="9" w16cid:durableId="42607086">
    <w:abstractNumId w:val="12"/>
  </w:num>
  <w:num w:numId="10" w16cid:durableId="1093863363">
    <w:abstractNumId w:val="6"/>
  </w:num>
  <w:num w:numId="11" w16cid:durableId="1962033847">
    <w:abstractNumId w:val="13"/>
  </w:num>
  <w:num w:numId="12" w16cid:durableId="1378354738">
    <w:abstractNumId w:val="1"/>
  </w:num>
  <w:num w:numId="13" w16cid:durableId="996303179">
    <w:abstractNumId w:val="5"/>
  </w:num>
  <w:num w:numId="14" w16cid:durableId="8114083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358"/>
    <w:rsid w:val="00045D4A"/>
    <w:rsid w:val="00066974"/>
    <w:rsid w:val="000B7CCC"/>
    <w:rsid w:val="000D7EED"/>
    <w:rsid w:val="000F2B86"/>
    <w:rsid w:val="00136733"/>
    <w:rsid w:val="00140358"/>
    <w:rsid w:val="00171AAA"/>
    <w:rsid w:val="00173586"/>
    <w:rsid w:val="00180561"/>
    <w:rsid w:val="00181E8F"/>
    <w:rsid w:val="00195D25"/>
    <w:rsid w:val="001B2753"/>
    <w:rsid w:val="002265E7"/>
    <w:rsid w:val="0023070E"/>
    <w:rsid w:val="002403E0"/>
    <w:rsid w:val="00272987"/>
    <w:rsid w:val="00275F22"/>
    <w:rsid w:val="002B7F69"/>
    <w:rsid w:val="002C1A58"/>
    <w:rsid w:val="002C637E"/>
    <w:rsid w:val="00304146"/>
    <w:rsid w:val="00313593"/>
    <w:rsid w:val="00314CC1"/>
    <w:rsid w:val="00317D9E"/>
    <w:rsid w:val="003205CB"/>
    <w:rsid w:val="00364402"/>
    <w:rsid w:val="00381928"/>
    <w:rsid w:val="00386548"/>
    <w:rsid w:val="003A2200"/>
    <w:rsid w:val="00406CE9"/>
    <w:rsid w:val="00476DF9"/>
    <w:rsid w:val="00483F7A"/>
    <w:rsid w:val="00495E9C"/>
    <w:rsid w:val="004B1EF6"/>
    <w:rsid w:val="004B3652"/>
    <w:rsid w:val="004B7E23"/>
    <w:rsid w:val="004C09BA"/>
    <w:rsid w:val="004D3A25"/>
    <w:rsid w:val="004D65C0"/>
    <w:rsid w:val="004E2818"/>
    <w:rsid w:val="004E5485"/>
    <w:rsid w:val="004F6CBA"/>
    <w:rsid w:val="004F7686"/>
    <w:rsid w:val="00511287"/>
    <w:rsid w:val="00516FDF"/>
    <w:rsid w:val="005201C0"/>
    <w:rsid w:val="00547198"/>
    <w:rsid w:val="0055506B"/>
    <w:rsid w:val="00563C61"/>
    <w:rsid w:val="0058573D"/>
    <w:rsid w:val="005C4279"/>
    <w:rsid w:val="005D182E"/>
    <w:rsid w:val="005D2B45"/>
    <w:rsid w:val="005D3977"/>
    <w:rsid w:val="005E1E02"/>
    <w:rsid w:val="00621604"/>
    <w:rsid w:val="00625754"/>
    <w:rsid w:val="00675EC2"/>
    <w:rsid w:val="0069151E"/>
    <w:rsid w:val="006923DD"/>
    <w:rsid w:val="006E5F7E"/>
    <w:rsid w:val="007064A6"/>
    <w:rsid w:val="007134FC"/>
    <w:rsid w:val="00726674"/>
    <w:rsid w:val="00767847"/>
    <w:rsid w:val="0077476C"/>
    <w:rsid w:val="00776902"/>
    <w:rsid w:val="00780920"/>
    <w:rsid w:val="0079204D"/>
    <w:rsid w:val="007B5F9D"/>
    <w:rsid w:val="007C3C52"/>
    <w:rsid w:val="007C3FC1"/>
    <w:rsid w:val="007E3D30"/>
    <w:rsid w:val="007E5BBB"/>
    <w:rsid w:val="00813FB0"/>
    <w:rsid w:val="008254EF"/>
    <w:rsid w:val="00850514"/>
    <w:rsid w:val="0086251C"/>
    <w:rsid w:val="008A24CF"/>
    <w:rsid w:val="008B1425"/>
    <w:rsid w:val="008E02A3"/>
    <w:rsid w:val="008E5866"/>
    <w:rsid w:val="0091680D"/>
    <w:rsid w:val="00920E75"/>
    <w:rsid w:val="00946378"/>
    <w:rsid w:val="00956A9B"/>
    <w:rsid w:val="00970857"/>
    <w:rsid w:val="009A59CA"/>
    <w:rsid w:val="00A031DB"/>
    <w:rsid w:val="00A046AF"/>
    <w:rsid w:val="00A21BEC"/>
    <w:rsid w:val="00A64261"/>
    <w:rsid w:val="00A644B7"/>
    <w:rsid w:val="00A83BCD"/>
    <w:rsid w:val="00AC0D5E"/>
    <w:rsid w:val="00B7583A"/>
    <w:rsid w:val="00B850E1"/>
    <w:rsid w:val="00B951DC"/>
    <w:rsid w:val="00BB7C34"/>
    <w:rsid w:val="00BF243C"/>
    <w:rsid w:val="00BF3720"/>
    <w:rsid w:val="00C3249F"/>
    <w:rsid w:val="00C47F06"/>
    <w:rsid w:val="00C5521E"/>
    <w:rsid w:val="00CC42ED"/>
    <w:rsid w:val="00CE2BCA"/>
    <w:rsid w:val="00CE400B"/>
    <w:rsid w:val="00D06ED8"/>
    <w:rsid w:val="00D415FF"/>
    <w:rsid w:val="00DE0A08"/>
    <w:rsid w:val="00E129A1"/>
    <w:rsid w:val="00E20963"/>
    <w:rsid w:val="00E87FCE"/>
    <w:rsid w:val="00EE2B30"/>
    <w:rsid w:val="00F12743"/>
    <w:rsid w:val="00F13C8B"/>
    <w:rsid w:val="00F55E09"/>
    <w:rsid w:val="00F86033"/>
    <w:rsid w:val="00F870B5"/>
    <w:rsid w:val="00F90004"/>
    <w:rsid w:val="00F92929"/>
    <w:rsid w:val="00FA7F26"/>
    <w:rsid w:val="00FC310A"/>
    <w:rsid w:val="00FF5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B6FE2F"/>
  <w15:chartTrackingRefBased/>
  <w15:docId w15:val="{B78E1AA8-CA41-4FE1-A698-8F229CDED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548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4035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140358"/>
  </w:style>
  <w:style w:type="paragraph" w:styleId="Piedepgina">
    <w:name w:val="footer"/>
    <w:basedOn w:val="Normal"/>
    <w:link w:val="PiedepginaCar"/>
    <w:uiPriority w:val="99"/>
    <w:unhideWhenUsed/>
    <w:rsid w:val="0014035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40358"/>
  </w:style>
  <w:style w:type="paragraph" w:styleId="Textodeglobo">
    <w:name w:val="Balloon Text"/>
    <w:basedOn w:val="Normal"/>
    <w:link w:val="TextodegloboCar"/>
    <w:uiPriority w:val="99"/>
    <w:semiHidden/>
    <w:unhideWhenUsed/>
    <w:rsid w:val="00140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40358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3249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13C8B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06CE9"/>
    <w:rPr>
      <w:color w:val="954F72" w:themeColor="followedHyperlink"/>
      <w:u w:val="single"/>
    </w:rPr>
  </w:style>
  <w:style w:type="table" w:styleId="Tablaconcuadrcula">
    <w:name w:val="Table Grid"/>
    <w:basedOn w:val="Tablanormal"/>
    <w:uiPriority w:val="39"/>
    <w:rsid w:val="001735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3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putados.gob.mx/LeyesBiblio/ref/cpeum.ht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putados.gob.mx/LeyesBiblio/ref/lgcg.ht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diputados.gob.mx/LeyesBiblio/ref/lfprh.htm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24FE24-D571-4BF4-A3E6-D806CB536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710</TotalTime>
  <Pages>9</Pages>
  <Words>3300</Words>
  <Characters>18150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Angélik diez de sollano</cp:lastModifiedBy>
  <cp:revision>29</cp:revision>
  <cp:lastPrinted>2023-01-27T21:01:00Z</cp:lastPrinted>
  <dcterms:created xsi:type="dcterms:W3CDTF">2022-01-04T18:39:00Z</dcterms:created>
  <dcterms:modified xsi:type="dcterms:W3CDTF">2024-04-25T18:13:00Z</dcterms:modified>
</cp:coreProperties>
</file>